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CEAE" w14:textId="77777777" w:rsidR="0048585B" w:rsidRDefault="0048585B"/>
    <w:p w14:paraId="27B375FB" w14:textId="77777777" w:rsidR="0048585B" w:rsidRDefault="0048585B"/>
    <w:p w14:paraId="6C524700" w14:textId="3F15D154" w:rsidR="0048585B" w:rsidRDefault="00693B8A">
      <w:r>
        <w:rPr>
          <w:noProof/>
        </w:rPr>
        <w:drawing>
          <wp:anchor distT="0" distB="0" distL="114300" distR="114300" simplePos="0" relativeHeight="251658240" behindDoc="0" locked="0" layoutInCell="1" allowOverlap="1" wp14:anchorId="3DAF8CAC" wp14:editId="430C5975">
            <wp:simplePos x="0" y="0"/>
            <wp:positionH relativeFrom="margin">
              <wp:align>center</wp:align>
            </wp:positionH>
            <wp:positionV relativeFrom="paragraph">
              <wp:posOffset>349885</wp:posOffset>
            </wp:positionV>
            <wp:extent cx="6413304" cy="2524125"/>
            <wp:effectExtent l="0" t="0" r="6985"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413304"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1AF93" w14:textId="1A6F68D7" w:rsidR="0048585B" w:rsidRDefault="0048585B"/>
    <w:p w14:paraId="3C330617" w14:textId="71B4342B" w:rsidR="0048585B" w:rsidRDefault="0048585B"/>
    <w:p w14:paraId="41AF2567" w14:textId="22A8F013" w:rsidR="0048585B" w:rsidRDefault="0048585B"/>
    <w:p w14:paraId="205386D1" w14:textId="4875E71D" w:rsidR="0048585B" w:rsidRDefault="0048585B"/>
    <w:p w14:paraId="0D67CDE6" w14:textId="77777777" w:rsidR="0048585B" w:rsidRDefault="0048585B"/>
    <w:p w14:paraId="2A5D2BEB" w14:textId="77777777" w:rsidR="00693B8A" w:rsidRPr="008755F7" w:rsidRDefault="00693B8A" w:rsidP="00693B8A">
      <w:pPr>
        <w:pStyle w:val="Title"/>
        <w:jc w:val="center"/>
        <w:rPr>
          <w:sz w:val="96"/>
        </w:rPr>
      </w:pPr>
      <w:r>
        <w:rPr>
          <w:sz w:val="96"/>
        </w:rPr>
        <w:t xml:space="preserve">Heaton Public </w:t>
      </w:r>
      <w:r w:rsidRPr="008755F7">
        <w:rPr>
          <w:sz w:val="96"/>
        </w:rPr>
        <w:t>School</w:t>
      </w:r>
    </w:p>
    <w:p w14:paraId="536AB00F" w14:textId="77777777" w:rsidR="00693B8A" w:rsidRPr="008755F7" w:rsidRDefault="00693B8A" w:rsidP="00693B8A">
      <w:pPr>
        <w:pStyle w:val="Title"/>
        <w:jc w:val="center"/>
        <w:rPr>
          <w:sz w:val="96"/>
        </w:rPr>
      </w:pPr>
      <w:r w:rsidRPr="008755F7">
        <w:rPr>
          <w:sz w:val="96"/>
        </w:rPr>
        <w:t>Student Enrolment</w:t>
      </w:r>
    </w:p>
    <w:p w14:paraId="3EF1198C" w14:textId="77777777" w:rsidR="00693B8A" w:rsidRDefault="00693B8A" w:rsidP="00693B8A">
      <w:pPr>
        <w:jc w:val="center"/>
        <w:rPr>
          <w:sz w:val="32"/>
        </w:rPr>
      </w:pPr>
    </w:p>
    <w:p w14:paraId="426DF17E" w14:textId="77777777" w:rsidR="00693B8A" w:rsidRDefault="00693B8A" w:rsidP="00693B8A">
      <w:pPr>
        <w:jc w:val="center"/>
        <w:rPr>
          <w:sz w:val="32"/>
        </w:rPr>
      </w:pPr>
    </w:p>
    <w:p w14:paraId="0ED63C41" w14:textId="77777777" w:rsidR="00693B8A" w:rsidRDefault="00693B8A" w:rsidP="00693B8A">
      <w:pPr>
        <w:jc w:val="center"/>
        <w:rPr>
          <w:sz w:val="32"/>
        </w:rPr>
      </w:pPr>
    </w:p>
    <w:p w14:paraId="4BD2360C" w14:textId="77777777" w:rsidR="00693B8A" w:rsidRDefault="00693B8A" w:rsidP="00693B8A">
      <w:pPr>
        <w:jc w:val="center"/>
        <w:rPr>
          <w:sz w:val="32"/>
        </w:rPr>
      </w:pPr>
      <w:r w:rsidRPr="008755F7">
        <w:rPr>
          <w:sz w:val="32"/>
        </w:rPr>
        <w:t>Procedures and Protocols</w:t>
      </w:r>
    </w:p>
    <w:p w14:paraId="15662FDC" w14:textId="77777777" w:rsidR="0048585B" w:rsidRDefault="0048585B"/>
    <w:p w14:paraId="12E04B43" w14:textId="77777777" w:rsidR="0048585B" w:rsidRDefault="0048585B"/>
    <w:p w14:paraId="31DCA541" w14:textId="5150623F" w:rsidR="0048585B" w:rsidRDefault="0048585B"/>
    <w:p w14:paraId="705083E7" w14:textId="5A5B9107" w:rsidR="0048585B" w:rsidRDefault="007047F1">
      <w:r>
        <w:rPr>
          <w:noProof/>
        </w:rPr>
        <w:lastRenderedPageBreak/>
        <w:drawing>
          <wp:anchor distT="0" distB="0" distL="114300" distR="114300" simplePos="0" relativeHeight="251660288" behindDoc="0" locked="0" layoutInCell="1" allowOverlap="1" wp14:anchorId="05D7AAEA" wp14:editId="333AA4DB">
            <wp:simplePos x="0" y="0"/>
            <wp:positionH relativeFrom="margin">
              <wp:posOffset>-628650</wp:posOffset>
            </wp:positionH>
            <wp:positionV relativeFrom="paragraph">
              <wp:posOffset>0</wp:posOffset>
            </wp:positionV>
            <wp:extent cx="2552700" cy="1004570"/>
            <wp:effectExtent l="0" t="0" r="0" b="508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96715" w14:textId="1C6BC2B2" w:rsidR="0048585B" w:rsidRDefault="0048585B"/>
    <w:p w14:paraId="0D64DD4B" w14:textId="4BD0C474" w:rsidR="0048585B" w:rsidRDefault="00693B8A" w:rsidP="00693B8A">
      <w:pPr>
        <w:tabs>
          <w:tab w:val="left" w:pos="960"/>
        </w:tabs>
      </w:pPr>
      <w:r>
        <w:tab/>
      </w:r>
    </w:p>
    <w:p w14:paraId="5F289C20" w14:textId="43866B70" w:rsidR="0048585B" w:rsidRDefault="0048585B"/>
    <w:p w14:paraId="5A99916E" w14:textId="77777777" w:rsidR="007047F1" w:rsidRPr="008755F7" w:rsidRDefault="007047F1" w:rsidP="007047F1">
      <w:pPr>
        <w:jc w:val="center"/>
        <w:rPr>
          <w:sz w:val="32"/>
        </w:rPr>
      </w:pPr>
    </w:p>
    <w:sdt>
      <w:sdtPr>
        <w:rPr>
          <w:rFonts w:asciiTheme="minorHAnsi" w:eastAsiaTheme="minorHAnsi" w:hAnsiTheme="minorHAnsi" w:cstheme="minorBidi"/>
          <w:color w:val="auto"/>
          <w:sz w:val="24"/>
          <w:szCs w:val="22"/>
          <w:lang w:val="en-AU"/>
          <w14:ligatures w14:val="all"/>
          <w14:cntxtAlts/>
        </w:rPr>
        <w:id w:val="476806065"/>
        <w:docPartObj>
          <w:docPartGallery w:val="Table of Contents"/>
          <w:docPartUnique/>
        </w:docPartObj>
      </w:sdtPr>
      <w:sdtEndPr>
        <w:rPr>
          <w:b/>
          <w:bCs/>
          <w:noProof/>
          <w:sz w:val="22"/>
        </w:rPr>
      </w:sdtEndPr>
      <w:sdtContent>
        <w:p w14:paraId="506D09C5" w14:textId="77777777" w:rsidR="007047F1" w:rsidRDefault="007047F1" w:rsidP="007047F1">
          <w:pPr>
            <w:pStyle w:val="TOCHeading"/>
            <w:jc w:val="center"/>
            <w:rPr>
              <w:b/>
              <w:color w:val="auto"/>
              <w:u w:val="single"/>
            </w:rPr>
          </w:pPr>
          <w:r w:rsidRPr="00A862D7">
            <w:rPr>
              <w:b/>
              <w:color w:val="auto"/>
              <w:u w:val="single"/>
            </w:rPr>
            <w:t>Contents</w:t>
          </w:r>
        </w:p>
        <w:p w14:paraId="021C981F" w14:textId="77777777" w:rsidR="007047F1" w:rsidRPr="00A862D7" w:rsidRDefault="007047F1" w:rsidP="007047F1">
          <w:pPr>
            <w:rPr>
              <w:lang w:val="en-US"/>
            </w:rPr>
          </w:pPr>
        </w:p>
        <w:p w14:paraId="1E0490AA" w14:textId="77777777" w:rsidR="007047F1" w:rsidRDefault="007047F1" w:rsidP="007047F1">
          <w:pPr>
            <w:pStyle w:val="TOC1"/>
            <w:tabs>
              <w:tab w:val="right" w:leader="dot" w:pos="10762"/>
            </w:tabs>
            <w:rPr>
              <w:rFonts w:eastAsiaTheme="minorEastAsia"/>
              <w:noProof/>
              <w:sz w:val="22"/>
              <w:lang w:eastAsia="en-AU"/>
            </w:rPr>
          </w:pPr>
          <w:r>
            <w:fldChar w:fldCharType="begin"/>
          </w:r>
          <w:r>
            <w:instrText xml:space="preserve"> TOC \o "1-3" \h \z \u </w:instrText>
          </w:r>
          <w:r>
            <w:fldChar w:fldCharType="separate"/>
          </w:r>
          <w:hyperlink w:anchor="_Toc17968902" w:history="1">
            <w:r w:rsidRPr="005856C7">
              <w:rPr>
                <w:rStyle w:val="Hyperlink"/>
                <w:b/>
                <w:noProof/>
              </w:rPr>
              <w:t>Synopsis</w:t>
            </w:r>
            <w:r>
              <w:rPr>
                <w:noProof/>
                <w:webHidden/>
              </w:rPr>
              <w:tab/>
            </w:r>
            <w:r>
              <w:rPr>
                <w:noProof/>
                <w:webHidden/>
              </w:rPr>
              <w:fldChar w:fldCharType="begin"/>
            </w:r>
            <w:r>
              <w:rPr>
                <w:noProof/>
                <w:webHidden/>
              </w:rPr>
              <w:instrText xml:space="preserve"> PAGEREF _Toc17968902 \h </w:instrText>
            </w:r>
            <w:r>
              <w:rPr>
                <w:noProof/>
                <w:webHidden/>
              </w:rPr>
            </w:r>
            <w:r>
              <w:rPr>
                <w:noProof/>
                <w:webHidden/>
              </w:rPr>
              <w:fldChar w:fldCharType="separate"/>
            </w:r>
            <w:r>
              <w:rPr>
                <w:noProof/>
                <w:webHidden/>
              </w:rPr>
              <w:t>3</w:t>
            </w:r>
            <w:r>
              <w:rPr>
                <w:noProof/>
                <w:webHidden/>
              </w:rPr>
              <w:fldChar w:fldCharType="end"/>
            </w:r>
          </w:hyperlink>
        </w:p>
        <w:p w14:paraId="302E9477" w14:textId="77777777" w:rsidR="007047F1" w:rsidRDefault="00DF2241" w:rsidP="007047F1">
          <w:pPr>
            <w:pStyle w:val="TOC1"/>
            <w:tabs>
              <w:tab w:val="right" w:leader="dot" w:pos="10762"/>
            </w:tabs>
            <w:rPr>
              <w:rFonts w:eastAsiaTheme="minorEastAsia"/>
              <w:noProof/>
              <w:sz w:val="22"/>
              <w:lang w:eastAsia="en-AU"/>
            </w:rPr>
          </w:pPr>
          <w:hyperlink w:anchor="_Toc17968903" w:history="1">
            <w:r w:rsidR="007047F1" w:rsidRPr="005856C7">
              <w:rPr>
                <w:rStyle w:val="Hyperlink"/>
                <w:b/>
                <w:noProof/>
              </w:rPr>
              <w:t>Managing enrolments in schools</w:t>
            </w:r>
            <w:r w:rsidR="007047F1">
              <w:rPr>
                <w:noProof/>
                <w:webHidden/>
              </w:rPr>
              <w:tab/>
            </w:r>
            <w:r w:rsidR="007047F1">
              <w:rPr>
                <w:noProof/>
                <w:webHidden/>
              </w:rPr>
              <w:fldChar w:fldCharType="begin"/>
            </w:r>
            <w:r w:rsidR="007047F1">
              <w:rPr>
                <w:noProof/>
                <w:webHidden/>
              </w:rPr>
              <w:instrText xml:space="preserve"> PAGEREF _Toc17968903 \h </w:instrText>
            </w:r>
            <w:r w:rsidR="007047F1">
              <w:rPr>
                <w:noProof/>
                <w:webHidden/>
              </w:rPr>
            </w:r>
            <w:r w:rsidR="007047F1">
              <w:rPr>
                <w:noProof/>
                <w:webHidden/>
              </w:rPr>
              <w:fldChar w:fldCharType="separate"/>
            </w:r>
            <w:r w:rsidR="007047F1">
              <w:rPr>
                <w:noProof/>
                <w:webHidden/>
              </w:rPr>
              <w:t>3</w:t>
            </w:r>
            <w:r w:rsidR="007047F1">
              <w:rPr>
                <w:noProof/>
                <w:webHidden/>
              </w:rPr>
              <w:fldChar w:fldCharType="end"/>
            </w:r>
          </w:hyperlink>
        </w:p>
        <w:p w14:paraId="06026762" w14:textId="77777777" w:rsidR="007047F1" w:rsidRDefault="00DF2241" w:rsidP="007047F1">
          <w:pPr>
            <w:pStyle w:val="TOC1"/>
            <w:tabs>
              <w:tab w:val="right" w:leader="dot" w:pos="10762"/>
            </w:tabs>
            <w:rPr>
              <w:rFonts w:eastAsiaTheme="minorEastAsia"/>
              <w:noProof/>
              <w:sz w:val="22"/>
              <w:lang w:eastAsia="en-AU"/>
            </w:rPr>
          </w:pPr>
          <w:hyperlink w:anchor="_Toc17968904" w:history="1">
            <w:r w:rsidR="007047F1" w:rsidRPr="005856C7">
              <w:rPr>
                <w:rStyle w:val="Hyperlink"/>
                <w:b/>
                <w:noProof/>
              </w:rPr>
              <w:t>Local Enrolment</w:t>
            </w:r>
            <w:r w:rsidR="007047F1">
              <w:rPr>
                <w:noProof/>
                <w:webHidden/>
              </w:rPr>
              <w:tab/>
            </w:r>
            <w:r w:rsidR="007047F1">
              <w:rPr>
                <w:noProof/>
                <w:webHidden/>
              </w:rPr>
              <w:fldChar w:fldCharType="begin"/>
            </w:r>
            <w:r w:rsidR="007047F1">
              <w:rPr>
                <w:noProof/>
                <w:webHidden/>
              </w:rPr>
              <w:instrText xml:space="preserve"> PAGEREF _Toc17968904 \h </w:instrText>
            </w:r>
            <w:r w:rsidR="007047F1">
              <w:rPr>
                <w:noProof/>
                <w:webHidden/>
              </w:rPr>
            </w:r>
            <w:r w:rsidR="007047F1">
              <w:rPr>
                <w:noProof/>
                <w:webHidden/>
              </w:rPr>
              <w:fldChar w:fldCharType="separate"/>
            </w:r>
            <w:r w:rsidR="007047F1">
              <w:rPr>
                <w:noProof/>
                <w:webHidden/>
              </w:rPr>
              <w:t>3</w:t>
            </w:r>
            <w:r w:rsidR="007047F1">
              <w:rPr>
                <w:noProof/>
                <w:webHidden/>
              </w:rPr>
              <w:fldChar w:fldCharType="end"/>
            </w:r>
          </w:hyperlink>
        </w:p>
        <w:p w14:paraId="2544DF63" w14:textId="77777777" w:rsidR="007047F1" w:rsidRDefault="00DF2241" w:rsidP="007047F1">
          <w:pPr>
            <w:pStyle w:val="TOC1"/>
            <w:tabs>
              <w:tab w:val="right" w:leader="dot" w:pos="10762"/>
            </w:tabs>
            <w:rPr>
              <w:rFonts w:eastAsiaTheme="minorEastAsia"/>
              <w:noProof/>
              <w:sz w:val="22"/>
              <w:lang w:eastAsia="en-AU"/>
            </w:rPr>
          </w:pPr>
          <w:hyperlink w:anchor="_Toc17968905" w:history="1">
            <w:r w:rsidR="007047F1" w:rsidRPr="005856C7">
              <w:rPr>
                <w:rStyle w:val="Hyperlink"/>
                <w:b/>
                <w:noProof/>
              </w:rPr>
              <w:t>Enrolment cap</w:t>
            </w:r>
            <w:r w:rsidR="007047F1">
              <w:rPr>
                <w:noProof/>
                <w:webHidden/>
              </w:rPr>
              <w:tab/>
            </w:r>
            <w:r w:rsidR="007047F1">
              <w:rPr>
                <w:noProof/>
                <w:webHidden/>
              </w:rPr>
              <w:fldChar w:fldCharType="begin"/>
            </w:r>
            <w:r w:rsidR="007047F1">
              <w:rPr>
                <w:noProof/>
                <w:webHidden/>
              </w:rPr>
              <w:instrText xml:space="preserve"> PAGEREF _Toc17968905 \h </w:instrText>
            </w:r>
            <w:r w:rsidR="007047F1">
              <w:rPr>
                <w:noProof/>
                <w:webHidden/>
              </w:rPr>
            </w:r>
            <w:r w:rsidR="007047F1">
              <w:rPr>
                <w:noProof/>
                <w:webHidden/>
              </w:rPr>
              <w:fldChar w:fldCharType="separate"/>
            </w:r>
            <w:r w:rsidR="007047F1">
              <w:rPr>
                <w:noProof/>
                <w:webHidden/>
              </w:rPr>
              <w:t>4</w:t>
            </w:r>
            <w:r w:rsidR="007047F1">
              <w:rPr>
                <w:noProof/>
                <w:webHidden/>
              </w:rPr>
              <w:fldChar w:fldCharType="end"/>
            </w:r>
          </w:hyperlink>
        </w:p>
        <w:p w14:paraId="5E3AA910" w14:textId="77777777" w:rsidR="007047F1" w:rsidRDefault="00DF2241" w:rsidP="007047F1">
          <w:pPr>
            <w:pStyle w:val="TOC1"/>
            <w:tabs>
              <w:tab w:val="right" w:leader="dot" w:pos="10762"/>
            </w:tabs>
            <w:rPr>
              <w:rFonts w:eastAsiaTheme="minorEastAsia"/>
              <w:noProof/>
              <w:sz w:val="22"/>
              <w:lang w:eastAsia="en-AU"/>
            </w:rPr>
          </w:pPr>
          <w:hyperlink w:anchor="_Toc17968906" w:history="1">
            <w:r w:rsidR="007047F1" w:rsidRPr="005856C7">
              <w:rPr>
                <w:rStyle w:val="Hyperlink"/>
                <w:b/>
                <w:noProof/>
              </w:rPr>
              <w:t>Local enrolment buffer</w:t>
            </w:r>
            <w:r w:rsidR="007047F1">
              <w:rPr>
                <w:noProof/>
                <w:webHidden/>
              </w:rPr>
              <w:tab/>
            </w:r>
            <w:r w:rsidR="007047F1">
              <w:rPr>
                <w:noProof/>
                <w:webHidden/>
              </w:rPr>
              <w:fldChar w:fldCharType="begin"/>
            </w:r>
            <w:r w:rsidR="007047F1">
              <w:rPr>
                <w:noProof/>
                <w:webHidden/>
              </w:rPr>
              <w:instrText xml:space="preserve"> PAGEREF _Toc17968906 \h </w:instrText>
            </w:r>
            <w:r w:rsidR="007047F1">
              <w:rPr>
                <w:noProof/>
                <w:webHidden/>
              </w:rPr>
            </w:r>
            <w:r w:rsidR="007047F1">
              <w:rPr>
                <w:noProof/>
                <w:webHidden/>
              </w:rPr>
              <w:fldChar w:fldCharType="separate"/>
            </w:r>
            <w:r w:rsidR="007047F1">
              <w:rPr>
                <w:noProof/>
                <w:webHidden/>
              </w:rPr>
              <w:t>4</w:t>
            </w:r>
            <w:r w:rsidR="007047F1">
              <w:rPr>
                <w:noProof/>
                <w:webHidden/>
              </w:rPr>
              <w:fldChar w:fldCharType="end"/>
            </w:r>
          </w:hyperlink>
        </w:p>
        <w:p w14:paraId="0B74AB53" w14:textId="77777777" w:rsidR="007047F1" w:rsidRDefault="00DF2241" w:rsidP="007047F1">
          <w:pPr>
            <w:pStyle w:val="TOC1"/>
            <w:tabs>
              <w:tab w:val="right" w:leader="dot" w:pos="10762"/>
            </w:tabs>
            <w:rPr>
              <w:rFonts w:eastAsiaTheme="minorEastAsia"/>
              <w:noProof/>
              <w:sz w:val="22"/>
              <w:lang w:eastAsia="en-AU"/>
            </w:rPr>
          </w:pPr>
          <w:hyperlink w:anchor="_Toc17968907" w:history="1">
            <w:r w:rsidR="007047F1" w:rsidRPr="005856C7">
              <w:rPr>
                <w:rStyle w:val="Hyperlink"/>
                <w:b/>
                <w:noProof/>
              </w:rPr>
              <w:t>Non-local enrolment</w:t>
            </w:r>
            <w:r w:rsidR="007047F1">
              <w:rPr>
                <w:noProof/>
                <w:webHidden/>
              </w:rPr>
              <w:tab/>
            </w:r>
            <w:r w:rsidR="007047F1">
              <w:rPr>
                <w:noProof/>
                <w:webHidden/>
              </w:rPr>
              <w:fldChar w:fldCharType="begin"/>
            </w:r>
            <w:r w:rsidR="007047F1">
              <w:rPr>
                <w:noProof/>
                <w:webHidden/>
              </w:rPr>
              <w:instrText xml:space="preserve"> PAGEREF _Toc17968907 \h </w:instrText>
            </w:r>
            <w:r w:rsidR="007047F1">
              <w:rPr>
                <w:noProof/>
                <w:webHidden/>
              </w:rPr>
            </w:r>
            <w:r w:rsidR="007047F1">
              <w:rPr>
                <w:noProof/>
                <w:webHidden/>
              </w:rPr>
              <w:fldChar w:fldCharType="separate"/>
            </w:r>
            <w:r w:rsidR="007047F1">
              <w:rPr>
                <w:noProof/>
                <w:webHidden/>
              </w:rPr>
              <w:t>4</w:t>
            </w:r>
            <w:r w:rsidR="007047F1">
              <w:rPr>
                <w:noProof/>
                <w:webHidden/>
              </w:rPr>
              <w:fldChar w:fldCharType="end"/>
            </w:r>
          </w:hyperlink>
        </w:p>
        <w:p w14:paraId="15DD40D5" w14:textId="77777777" w:rsidR="007047F1" w:rsidRDefault="00DF2241" w:rsidP="007047F1">
          <w:pPr>
            <w:pStyle w:val="TOC1"/>
            <w:tabs>
              <w:tab w:val="right" w:leader="dot" w:pos="10762"/>
            </w:tabs>
            <w:rPr>
              <w:rFonts w:eastAsiaTheme="minorEastAsia"/>
              <w:noProof/>
              <w:sz w:val="22"/>
              <w:lang w:eastAsia="en-AU"/>
            </w:rPr>
          </w:pPr>
          <w:hyperlink w:anchor="_Toc17968908" w:history="1">
            <w:r w:rsidR="007047F1" w:rsidRPr="005856C7">
              <w:rPr>
                <w:rStyle w:val="Hyperlink"/>
                <w:b/>
                <w:noProof/>
              </w:rPr>
              <w:t>Criteria</w:t>
            </w:r>
            <w:r w:rsidR="007047F1">
              <w:rPr>
                <w:noProof/>
                <w:webHidden/>
              </w:rPr>
              <w:tab/>
            </w:r>
            <w:r w:rsidR="007047F1">
              <w:rPr>
                <w:noProof/>
                <w:webHidden/>
              </w:rPr>
              <w:fldChar w:fldCharType="begin"/>
            </w:r>
            <w:r w:rsidR="007047F1">
              <w:rPr>
                <w:noProof/>
                <w:webHidden/>
              </w:rPr>
              <w:instrText xml:space="preserve"> PAGEREF _Toc17968908 \h </w:instrText>
            </w:r>
            <w:r w:rsidR="007047F1">
              <w:rPr>
                <w:noProof/>
                <w:webHidden/>
              </w:rPr>
            </w:r>
            <w:r w:rsidR="007047F1">
              <w:rPr>
                <w:noProof/>
                <w:webHidden/>
              </w:rPr>
              <w:fldChar w:fldCharType="separate"/>
            </w:r>
            <w:r w:rsidR="007047F1">
              <w:rPr>
                <w:noProof/>
                <w:webHidden/>
              </w:rPr>
              <w:t>5</w:t>
            </w:r>
            <w:r w:rsidR="007047F1">
              <w:rPr>
                <w:noProof/>
                <w:webHidden/>
              </w:rPr>
              <w:fldChar w:fldCharType="end"/>
            </w:r>
          </w:hyperlink>
        </w:p>
        <w:p w14:paraId="640CEF43" w14:textId="77777777" w:rsidR="007047F1" w:rsidRDefault="00DF2241" w:rsidP="007047F1">
          <w:pPr>
            <w:pStyle w:val="TOC1"/>
            <w:tabs>
              <w:tab w:val="right" w:leader="dot" w:pos="10762"/>
            </w:tabs>
            <w:rPr>
              <w:rFonts w:eastAsiaTheme="minorEastAsia"/>
              <w:noProof/>
              <w:sz w:val="22"/>
              <w:lang w:eastAsia="en-AU"/>
            </w:rPr>
          </w:pPr>
          <w:hyperlink w:anchor="_Toc17968909" w:history="1">
            <w:r w:rsidR="007047F1" w:rsidRPr="005856C7">
              <w:rPr>
                <w:rStyle w:val="Hyperlink"/>
                <w:b/>
                <w:noProof/>
              </w:rPr>
              <w:t>Enrolment Panel</w:t>
            </w:r>
            <w:r w:rsidR="007047F1">
              <w:rPr>
                <w:noProof/>
                <w:webHidden/>
              </w:rPr>
              <w:tab/>
            </w:r>
            <w:r w:rsidR="007047F1">
              <w:rPr>
                <w:noProof/>
                <w:webHidden/>
              </w:rPr>
              <w:fldChar w:fldCharType="begin"/>
            </w:r>
            <w:r w:rsidR="007047F1">
              <w:rPr>
                <w:noProof/>
                <w:webHidden/>
              </w:rPr>
              <w:instrText xml:space="preserve"> PAGEREF _Toc17968909 \h </w:instrText>
            </w:r>
            <w:r w:rsidR="007047F1">
              <w:rPr>
                <w:noProof/>
                <w:webHidden/>
              </w:rPr>
            </w:r>
            <w:r w:rsidR="007047F1">
              <w:rPr>
                <w:noProof/>
                <w:webHidden/>
              </w:rPr>
              <w:fldChar w:fldCharType="separate"/>
            </w:r>
            <w:r w:rsidR="007047F1">
              <w:rPr>
                <w:noProof/>
                <w:webHidden/>
              </w:rPr>
              <w:t>5</w:t>
            </w:r>
            <w:r w:rsidR="007047F1">
              <w:rPr>
                <w:noProof/>
                <w:webHidden/>
              </w:rPr>
              <w:fldChar w:fldCharType="end"/>
            </w:r>
          </w:hyperlink>
        </w:p>
        <w:p w14:paraId="5F43CCE8" w14:textId="77777777" w:rsidR="007047F1" w:rsidRDefault="00DF2241" w:rsidP="007047F1">
          <w:pPr>
            <w:pStyle w:val="TOC1"/>
            <w:tabs>
              <w:tab w:val="right" w:leader="dot" w:pos="10762"/>
            </w:tabs>
            <w:rPr>
              <w:rFonts w:eastAsiaTheme="minorEastAsia"/>
              <w:noProof/>
              <w:sz w:val="22"/>
              <w:lang w:eastAsia="en-AU"/>
            </w:rPr>
          </w:pPr>
          <w:hyperlink w:anchor="_Toc17968910" w:history="1">
            <w:r w:rsidR="007047F1" w:rsidRPr="005856C7">
              <w:rPr>
                <w:rStyle w:val="Hyperlink"/>
                <w:b/>
                <w:noProof/>
              </w:rPr>
              <w:t>Waiting lists</w:t>
            </w:r>
            <w:r w:rsidR="007047F1">
              <w:rPr>
                <w:noProof/>
                <w:webHidden/>
              </w:rPr>
              <w:tab/>
            </w:r>
            <w:r w:rsidR="007047F1">
              <w:rPr>
                <w:noProof/>
                <w:webHidden/>
              </w:rPr>
              <w:fldChar w:fldCharType="begin"/>
            </w:r>
            <w:r w:rsidR="007047F1">
              <w:rPr>
                <w:noProof/>
                <w:webHidden/>
              </w:rPr>
              <w:instrText xml:space="preserve"> PAGEREF _Toc17968910 \h </w:instrText>
            </w:r>
            <w:r w:rsidR="007047F1">
              <w:rPr>
                <w:noProof/>
                <w:webHidden/>
              </w:rPr>
            </w:r>
            <w:r w:rsidR="007047F1">
              <w:rPr>
                <w:noProof/>
                <w:webHidden/>
              </w:rPr>
              <w:fldChar w:fldCharType="separate"/>
            </w:r>
            <w:r w:rsidR="007047F1">
              <w:rPr>
                <w:noProof/>
                <w:webHidden/>
              </w:rPr>
              <w:t>5</w:t>
            </w:r>
            <w:r w:rsidR="007047F1">
              <w:rPr>
                <w:noProof/>
                <w:webHidden/>
              </w:rPr>
              <w:fldChar w:fldCharType="end"/>
            </w:r>
          </w:hyperlink>
        </w:p>
        <w:p w14:paraId="4718CBE1" w14:textId="77777777" w:rsidR="007047F1" w:rsidRDefault="00DF2241" w:rsidP="007047F1">
          <w:pPr>
            <w:pStyle w:val="TOC1"/>
            <w:tabs>
              <w:tab w:val="right" w:leader="dot" w:pos="10762"/>
            </w:tabs>
            <w:rPr>
              <w:rFonts w:eastAsiaTheme="minorEastAsia"/>
              <w:noProof/>
              <w:sz w:val="22"/>
              <w:lang w:eastAsia="en-AU"/>
            </w:rPr>
          </w:pPr>
          <w:hyperlink w:anchor="_Toc17968911" w:history="1">
            <w:r w:rsidR="007047F1" w:rsidRPr="005856C7">
              <w:rPr>
                <w:rStyle w:val="Hyperlink"/>
                <w:b/>
                <w:noProof/>
              </w:rPr>
              <w:t>Enrolment time frame</w:t>
            </w:r>
            <w:r w:rsidR="007047F1">
              <w:rPr>
                <w:noProof/>
                <w:webHidden/>
              </w:rPr>
              <w:tab/>
            </w:r>
            <w:r w:rsidR="007047F1">
              <w:rPr>
                <w:noProof/>
                <w:webHidden/>
              </w:rPr>
              <w:fldChar w:fldCharType="begin"/>
            </w:r>
            <w:r w:rsidR="007047F1">
              <w:rPr>
                <w:noProof/>
                <w:webHidden/>
              </w:rPr>
              <w:instrText xml:space="preserve"> PAGEREF _Toc17968911 \h </w:instrText>
            </w:r>
            <w:r w:rsidR="007047F1">
              <w:rPr>
                <w:noProof/>
                <w:webHidden/>
              </w:rPr>
            </w:r>
            <w:r w:rsidR="007047F1">
              <w:rPr>
                <w:noProof/>
                <w:webHidden/>
              </w:rPr>
              <w:fldChar w:fldCharType="separate"/>
            </w:r>
            <w:r w:rsidR="007047F1">
              <w:rPr>
                <w:noProof/>
                <w:webHidden/>
              </w:rPr>
              <w:t>6</w:t>
            </w:r>
            <w:r w:rsidR="007047F1">
              <w:rPr>
                <w:noProof/>
                <w:webHidden/>
              </w:rPr>
              <w:fldChar w:fldCharType="end"/>
            </w:r>
          </w:hyperlink>
        </w:p>
        <w:p w14:paraId="1D524A49" w14:textId="77777777" w:rsidR="007047F1" w:rsidRDefault="00DF2241" w:rsidP="007047F1">
          <w:pPr>
            <w:pStyle w:val="TOC1"/>
            <w:tabs>
              <w:tab w:val="right" w:leader="dot" w:pos="10762"/>
            </w:tabs>
            <w:rPr>
              <w:rFonts w:eastAsiaTheme="minorEastAsia"/>
              <w:noProof/>
              <w:sz w:val="22"/>
              <w:lang w:eastAsia="en-AU"/>
            </w:rPr>
          </w:pPr>
          <w:hyperlink w:anchor="_Toc17968912" w:history="1">
            <w:r w:rsidR="007047F1" w:rsidRPr="005856C7">
              <w:rPr>
                <w:rStyle w:val="Hyperlink"/>
                <w:b/>
                <w:noProof/>
              </w:rPr>
              <w:t>Appeals</w:t>
            </w:r>
            <w:r w:rsidR="007047F1">
              <w:rPr>
                <w:noProof/>
                <w:webHidden/>
              </w:rPr>
              <w:tab/>
            </w:r>
            <w:r w:rsidR="007047F1">
              <w:rPr>
                <w:noProof/>
                <w:webHidden/>
              </w:rPr>
              <w:fldChar w:fldCharType="begin"/>
            </w:r>
            <w:r w:rsidR="007047F1">
              <w:rPr>
                <w:noProof/>
                <w:webHidden/>
              </w:rPr>
              <w:instrText xml:space="preserve"> PAGEREF _Toc17968912 \h </w:instrText>
            </w:r>
            <w:r w:rsidR="007047F1">
              <w:rPr>
                <w:noProof/>
                <w:webHidden/>
              </w:rPr>
            </w:r>
            <w:r w:rsidR="007047F1">
              <w:rPr>
                <w:noProof/>
                <w:webHidden/>
              </w:rPr>
              <w:fldChar w:fldCharType="separate"/>
            </w:r>
            <w:r w:rsidR="007047F1">
              <w:rPr>
                <w:noProof/>
                <w:webHidden/>
              </w:rPr>
              <w:t>6</w:t>
            </w:r>
            <w:r w:rsidR="007047F1">
              <w:rPr>
                <w:noProof/>
                <w:webHidden/>
              </w:rPr>
              <w:fldChar w:fldCharType="end"/>
            </w:r>
          </w:hyperlink>
        </w:p>
        <w:p w14:paraId="78F89A4C" w14:textId="77777777" w:rsidR="007047F1" w:rsidRDefault="00DF2241" w:rsidP="007047F1">
          <w:pPr>
            <w:pStyle w:val="TOC1"/>
            <w:tabs>
              <w:tab w:val="right" w:leader="dot" w:pos="10762"/>
            </w:tabs>
            <w:rPr>
              <w:rFonts w:eastAsiaTheme="minorEastAsia"/>
              <w:noProof/>
              <w:sz w:val="22"/>
              <w:lang w:eastAsia="en-AU"/>
            </w:rPr>
          </w:pPr>
          <w:hyperlink w:anchor="_Toc17968913" w:history="1">
            <w:r w:rsidR="007047F1" w:rsidRPr="005856C7">
              <w:rPr>
                <w:rStyle w:val="Hyperlink"/>
                <w:b/>
                <w:noProof/>
              </w:rPr>
              <w:t>Enrolment application decision tree</w:t>
            </w:r>
            <w:r w:rsidR="007047F1">
              <w:rPr>
                <w:noProof/>
                <w:webHidden/>
              </w:rPr>
              <w:tab/>
            </w:r>
            <w:r w:rsidR="007047F1">
              <w:rPr>
                <w:noProof/>
                <w:webHidden/>
              </w:rPr>
              <w:fldChar w:fldCharType="begin"/>
            </w:r>
            <w:r w:rsidR="007047F1">
              <w:rPr>
                <w:noProof/>
                <w:webHidden/>
              </w:rPr>
              <w:instrText xml:space="preserve"> PAGEREF _Toc17968913 \h </w:instrText>
            </w:r>
            <w:r w:rsidR="007047F1">
              <w:rPr>
                <w:noProof/>
                <w:webHidden/>
              </w:rPr>
            </w:r>
            <w:r w:rsidR="007047F1">
              <w:rPr>
                <w:noProof/>
                <w:webHidden/>
              </w:rPr>
              <w:fldChar w:fldCharType="separate"/>
            </w:r>
            <w:r w:rsidR="007047F1">
              <w:rPr>
                <w:noProof/>
                <w:webHidden/>
              </w:rPr>
              <w:t>6</w:t>
            </w:r>
            <w:r w:rsidR="007047F1">
              <w:rPr>
                <w:noProof/>
                <w:webHidden/>
              </w:rPr>
              <w:fldChar w:fldCharType="end"/>
            </w:r>
          </w:hyperlink>
        </w:p>
        <w:p w14:paraId="74445642" w14:textId="77777777" w:rsidR="007047F1" w:rsidRDefault="007047F1" w:rsidP="007047F1">
          <w:pPr>
            <w:jc w:val="center"/>
          </w:pPr>
          <w:r>
            <w:rPr>
              <w:b/>
              <w:bCs/>
              <w:noProof/>
            </w:rPr>
            <w:fldChar w:fldCharType="end"/>
          </w:r>
        </w:p>
      </w:sdtContent>
    </w:sdt>
    <w:p w14:paraId="7CAE1D88" w14:textId="77777777" w:rsidR="007047F1" w:rsidRDefault="007047F1" w:rsidP="007047F1">
      <w:pPr>
        <w:pStyle w:val="Heading1"/>
      </w:pPr>
    </w:p>
    <w:p w14:paraId="3EAFD87A" w14:textId="77777777" w:rsidR="007047F1" w:rsidRDefault="007047F1" w:rsidP="007047F1">
      <w:pPr>
        <w:jc w:val="center"/>
        <w:rPr>
          <w:rFonts w:asciiTheme="majorHAnsi" w:hAnsiTheme="majorHAnsi" w:cstheme="majorHAnsi"/>
          <w:b/>
          <w:sz w:val="32"/>
          <w:szCs w:val="32"/>
          <w:u w:val="single"/>
        </w:rPr>
      </w:pPr>
      <w:r w:rsidRPr="00A862D7">
        <w:rPr>
          <w:rFonts w:asciiTheme="majorHAnsi" w:hAnsiTheme="majorHAnsi" w:cstheme="majorHAnsi"/>
          <w:b/>
          <w:sz w:val="32"/>
          <w:szCs w:val="32"/>
          <w:u w:val="single"/>
        </w:rPr>
        <w:t>Document</w:t>
      </w:r>
    </w:p>
    <w:tbl>
      <w:tblPr>
        <w:tblStyle w:val="TableGrid"/>
        <w:tblW w:w="0" w:type="auto"/>
        <w:tblInd w:w="513" w:type="dxa"/>
        <w:tblLook w:val="04A0" w:firstRow="1" w:lastRow="0" w:firstColumn="1" w:lastColumn="0" w:noHBand="0" w:noVBand="1"/>
      </w:tblPr>
      <w:tblGrid>
        <w:gridCol w:w="2809"/>
        <w:gridCol w:w="2813"/>
        <w:gridCol w:w="2881"/>
      </w:tblGrid>
      <w:tr w:rsidR="007047F1" w14:paraId="161854F7" w14:textId="77777777" w:rsidTr="00B060E1">
        <w:trPr>
          <w:trHeight w:val="390"/>
        </w:trPr>
        <w:tc>
          <w:tcPr>
            <w:tcW w:w="3242" w:type="dxa"/>
          </w:tcPr>
          <w:p w14:paraId="7B1093B6" w14:textId="77777777" w:rsidR="007047F1" w:rsidRPr="00A862D7" w:rsidRDefault="007047F1" w:rsidP="00B060E1">
            <w:pPr>
              <w:jc w:val="center"/>
              <w:rPr>
                <w:rFonts w:cstheme="minorHAnsi"/>
                <w:szCs w:val="24"/>
              </w:rPr>
            </w:pPr>
            <w:r w:rsidRPr="00A862D7">
              <w:rPr>
                <w:rFonts w:cstheme="minorHAnsi"/>
                <w:szCs w:val="24"/>
              </w:rPr>
              <w:t xml:space="preserve">Version </w:t>
            </w:r>
          </w:p>
        </w:tc>
        <w:tc>
          <w:tcPr>
            <w:tcW w:w="3242" w:type="dxa"/>
          </w:tcPr>
          <w:p w14:paraId="45FFB3B0" w14:textId="77777777" w:rsidR="007047F1" w:rsidRPr="00A862D7" w:rsidRDefault="007047F1" w:rsidP="00B060E1">
            <w:pPr>
              <w:jc w:val="center"/>
              <w:rPr>
                <w:rFonts w:cstheme="minorHAnsi"/>
                <w:szCs w:val="24"/>
              </w:rPr>
            </w:pPr>
            <w:r w:rsidRPr="00A862D7">
              <w:rPr>
                <w:rFonts w:cstheme="minorHAnsi"/>
                <w:szCs w:val="24"/>
              </w:rPr>
              <w:t>Author</w:t>
            </w:r>
          </w:p>
        </w:tc>
        <w:tc>
          <w:tcPr>
            <w:tcW w:w="3243" w:type="dxa"/>
          </w:tcPr>
          <w:p w14:paraId="7D9D4977" w14:textId="77777777" w:rsidR="007047F1" w:rsidRPr="00A862D7" w:rsidRDefault="007047F1" w:rsidP="00B060E1">
            <w:pPr>
              <w:jc w:val="center"/>
              <w:rPr>
                <w:rFonts w:cstheme="minorHAnsi"/>
                <w:szCs w:val="24"/>
              </w:rPr>
            </w:pPr>
            <w:r w:rsidRPr="00A862D7">
              <w:rPr>
                <w:rFonts w:cstheme="minorHAnsi"/>
                <w:szCs w:val="24"/>
              </w:rPr>
              <w:t>Date</w:t>
            </w:r>
          </w:p>
        </w:tc>
      </w:tr>
      <w:tr w:rsidR="007047F1" w14:paraId="06B402CB" w14:textId="77777777" w:rsidTr="00B060E1">
        <w:trPr>
          <w:trHeight w:val="375"/>
        </w:trPr>
        <w:tc>
          <w:tcPr>
            <w:tcW w:w="3242" w:type="dxa"/>
          </w:tcPr>
          <w:p w14:paraId="3E804F96" w14:textId="77777777" w:rsidR="007047F1" w:rsidRPr="00A862D7" w:rsidRDefault="007047F1" w:rsidP="00B060E1">
            <w:pPr>
              <w:jc w:val="center"/>
              <w:rPr>
                <w:rFonts w:cstheme="minorHAnsi"/>
                <w:szCs w:val="24"/>
              </w:rPr>
            </w:pPr>
            <w:r w:rsidRPr="00A862D7">
              <w:rPr>
                <w:rFonts w:cstheme="minorHAnsi"/>
                <w:szCs w:val="24"/>
              </w:rPr>
              <w:t>1.0</w:t>
            </w:r>
          </w:p>
        </w:tc>
        <w:tc>
          <w:tcPr>
            <w:tcW w:w="3242" w:type="dxa"/>
          </w:tcPr>
          <w:p w14:paraId="5B7A0EBF" w14:textId="77777777" w:rsidR="007047F1" w:rsidRPr="00A862D7" w:rsidRDefault="007047F1" w:rsidP="00B060E1">
            <w:pPr>
              <w:jc w:val="center"/>
              <w:rPr>
                <w:rFonts w:cstheme="minorHAnsi"/>
                <w:szCs w:val="24"/>
              </w:rPr>
            </w:pPr>
            <w:r w:rsidRPr="00A862D7">
              <w:rPr>
                <w:rFonts w:cstheme="minorHAnsi"/>
                <w:szCs w:val="24"/>
              </w:rPr>
              <w:t>Andrew Hilton</w:t>
            </w:r>
          </w:p>
        </w:tc>
        <w:tc>
          <w:tcPr>
            <w:tcW w:w="3243" w:type="dxa"/>
          </w:tcPr>
          <w:p w14:paraId="7494ACBF" w14:textId="77777777" w:rsidR="007047F1" w:rsidRPr="00A862D7" w:rsidRDefault="007047F1" w:rsidP="00B060E1">
            <w:pPr>
              <w:jc w:val="center"/>
              <w:rPr>
                <w:rFonts w:cstheme="minorHAnsi"/>
                <w:szCs w:val="24"/>
              </w:rPr>
            </w:pPr>
            <w:r w:rsidRPr="00A862D7">
              <w:rPr>
                <w:rFonts w:cstheme="minorHAnsi"/>
                <w:szCs w:val="24"/>
              </w:rPr>
              <w:t>28/08/2019</w:t>
            </w:r>
          </w:p>
        </w:tc>
      </w:tr>
      <w:tr w:rsidR="007047F1" w14:paraId="64E21ED6" w14:textId="77777777" w:rsidTr="00B060E1">
        <w:trPr>
          <w:trHeight w:val="375"/>
        </w:trPr>
        <w:tc>
          <w:tcPr>
            <w:tcW w:w="3242" w:type="dxa"/>
          </w:tcPr>
          <w:p w14:paraId="42DBCC56" w14:textId="77777777" w:rsidR="007047F1" w:rsidRPr="00A862D7" w:rsidRDefault="007047F1" w:rsidP="00B060E1">
            <w:pPr>
              <w:jc w:val="center"/>
              <w:rPr>
                <w:rFonts w:cstheme="minorHAnsi"/>
                <w:szCs w:val="24"/>
              </w:rPr>
            </w:pPr>
            <w:r>
              <w:rPr>
                <w:rFonts w:cstheme="minorHAnsi"/>
                <w:szCs w:val="24"/>
              </w:rPr>
              <w:t>Update 2.0</w:t>
            </w:r>
          </w:p>
        </w:tc>
        <w:tc>
          <w:tcPr>
            <w:tcW w:w="3242" w:type="dxa"/>
          </w:tcPr>
          <w:p w14:paraId="053AC7A0" w14:textId="77777777" w:rsidR="007047F1" w:rsidRPr="00A862D7" w:rsidRDefault="007047F1" w:rsidP="00B060E1">
            <w:pPr>
              <w:jc w:val="center"/>
              <w:rPr>
                <w:rFonts w:cstheme="minorHAnsi"/>
                <w:szCs w:val="24"/>
              </w:rPr>
            </w:pPr>
            <w:r>
              <w:rPr>
                <w:rFonts w:cstheme="minorHAnsi"/>
                <w:szCs w:val="24"/>
              </w:rPr>
              <w:t>Andrew Hilton</w:t>
            </w:r>
          </w:p>
        </w:tc>
        <w:tc>
          <w:tcPr>
            <w:tcW w:w="3243" w:type="dxa"/>
          </w:tcPr>
          <w:p w14:paraId="3B090A6F" w14:textId="77777777" w:rsidR="007047F1" w:rsidRPr="00A862D7" w:rsidRDefault="007047F1" w:rsidP="00B060E1">
            <w:pPr>
              <w:jc w:val="center"/>
              <w:rPr>
                <w:rFonts w:cstheme="minorHAnsi"/>
                <w:szCs w:val="24"/>
              </w:rPr>
            </w:pPr>
            <w:r>
              <w:rPr>
                <w:rFonts w:cstheme="minorHAnsi"/>
                <w:szCs w:val="24"/>
              </w:rPr>
              <w:t>08/06/2021</w:t>
            </w:r>
          </w:p>
        </w:tc>
      </w:tr>
    </w:tbl>
    <w:p w14:paraId="51C5E1C4" w14:textId="77777777" w:rsidR="007047F1" w:rsidRDefault="007047F1" w:rsidP="007047F1">
      <w:pPr>
        <w:jc w:val="center"/>
        <w:rPr>
          <w:rFonts w:asciiTheme="majorHAnsi" w:hAnsiTheme="majorHAnsi" w:cstheme="majorHAnsi"/>
          <w:b/>
          <w:sz w:val="32"/>
          <w:szCs w:val="32"/>
          <w:u w:val="single"/>
        </w:rPr>
      </w:pPr>
    </w:p>
    <w:p w14:paraId="2A1BD9F7" w14:textId="7CAB415E" w:rsidR="0048585B" w:rsidRDefault="0048585B"/>
    <w:p w14:paraId="685725C3" w14:textId="6C0C7257" w:rsidR="0048585B" w:rsidRDefault="0048585B"/>
    <w:p w14:paraId="18C3DA43" w14:textId="77777777" w:rsidR="0048585B" w:rsidRDefault="0048585B"/>
    <w:p w14:paraId="0290F277" w14:textId="77777777" w:rsidR="0048585B" w:rsidRDefault="0048585B"/>
    <w:p w14:paraId="0F52392D" w14:textId="1DCAC0D4" w:rsidR="0048585B" w:rsidRDefault="0048585B"/>
    <w:p w14:paraId="18584ACC" w14:textId="040B313B" w:rsidR="0048585B" w:rsidRDefault="00666690">
      <w:r>
        <w:rPr>
          <w:noProof/>
        </w:rPr>
        <w:lastRenderedPageBreak/>
        <w:drawing>
          <wp:anchor distT="0" distB="0" distL="114300" distR="114300" simplePos="0" relativeHeight="251664384" behindDoc="0" locked="0" layoutInCell="1" allowOverlap="1" wp14:anchorId="3C6C4434" wp14:editId="3C94EF6A">
            <wp:simplePos x="0" y="0"/>
            <wp:positionH relativeFrom="margin">
              <wp:posOffset>-723900</wp:posOffset>
            </wp:positionH>
            <wp:positionV relativeFrom="paragraph">
              <wp:posOffset>0</wp:posOffset>
            </wp:positionV>
            <wp:extent cx="2552700" cy="1004570"/>
            <wp:effectExtent l="0" t="0" r="0" b="508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5A5ED" w14:textId="73CB5E98" w:rsidR="00666690" w:rsidRDefault="00666690"/>
    <w:p w14:paraId="5BF8E3D4" w14:textId="77777777" w:rsidR="00666690" w:rsidRDefault="00666690"/>
    <w:p w14:paraId="68B90358" w14:textId="77777777" w:rsidR="00666690" w:rsidRPr="00A862D7" w:rsidRDefault="00666690" w:rsidP="00666690">
      <w:pPr>
        <w:pStyle w:val="Heading1"/>
        <w:jc w:val="both"/>
        <w:rPr>
          <w:b/>
          <w:color w:val="auto"/>
        </w:rPr>
      </w:pPr>
      <w:bookmarkStart w:id="0" w:name="_Toc17968902"/>
      <w:r w:rsidRPr="00A862D7">
        <w:rPr>
          <w:b/>
          <w:color w:val="auto"/>
        </w:rPr>
        <w:t>Synopsis</w:t>
      </w:r>
      <w:bookmarkEnd w:id="0"/>
    </w:p>
    <w:p w14:paraId="1CC2472C" w14:textId="77777777" w:rsidR="00666690" w:rsidRDefault="00666690" w:rsidP="00666690">
      <w:pPr>
        <w:jc w:val="both"/>
      </w:pPr>
      <w:r>
        <w:t xml:space="preserve">This document </w:t>
      </w:r>
      <w:r w:rsidRPr="00D23046">
        <w:t xml:space="preserve">supports </w:t>
      </w:r>
      <w:r>
        <w:t>Heaton School’s implementation of the NSW Department of Education’s Enrolment of Students in NSW Government Schools Policy (July 2019) and should be read in conjunction with the</w:t>
      </w:r>
      <w:hyperlink r:id="rId9" w:history="1">
        <w:r w:rsidRPr="00A862D7">
          <w:rPr>
            <w:rStyle w:val="Hyperlink"/>
            <w:color w:val="2E74B5" w:themeColor="accent5" w:themeShade="BF"/>
          </w:rPr>
          <w:t xml:space="preserve"> General Enrolment Procedures</w:t>
        </w:r>
      </w:hyperlink>
      <w:r w:rsidRPr="00A862D7">
        <w:rPr>
          <w:color w:val="2E74B5" w:themeColor="accent5" w:themeShade="BF"/>
        </w:rPr>
        <w:t>.</w:t>
      </w:r>
    </w:p>
    <w:p w14:paraId="643134A8" w14:textId="77777777" w:rsidR="00666690" w:rsidRPr="00A862D7" w:rsidRDefault="00666690" w:rsidP="00666690">
      <w:pPr>
        <w:pStyle w:val="Heading1"/>
        <w:jc w:val="both"/>
        <w:rPr>
          <w:b/>
          <w:color w:val="auto"/>
        </w:rPr>
      </w:pPr>
      <w:bookmarkStart w:id="1" w:name="_Toc17968903"/>
      <w:r w:rsidRPr="00A862D7">
        <w:rPr>
          <w:b/>
          <w:color w:val="auto"/>
        </w:rPr>
        <w:t>Managing enrolments in schools</w:t>
      </w:r>
      <w:bookmarkEnd w:id="1"/>
    </w:p>
    <w:p w14:paraId="4EBDEA6C" w14:textId="77777777" w:rsidR="00666690" w:rsidRDefault="00666690" w:rsidP="00666690">
      <w:pPr>
        <w:jc w:val="both"/>
      </w:pPr>
      <w:r>
        <w:t>A student is entitled to enrol at the local school that the student is eligible to attend if their home is within that school’s local intake area. Parents may apply to enrol their child in the school of their choice. Acceptance is subject to the child being eligible to attend and the school can accommodate the child. (General Enrolment Procedures: 9)</w:t>
      </w:r>
    </w:p>
    <w:p w14:paraId="66D6FF75" w14:textId="77777777" w:rsidR="00666690" w:rsidRDefault="00666690" w:rsidP="00666690">
      <w:pPr>
        <w:jc w:val="both"/>
      </w:pPr>
      <w:r>
        <w:t xml:space="preserve">Parents may enrol a child if they turn 5 years of age on or before 31 July in that year. Students identified as gifted and talented, who are aged 4 years or older </w:t>
      </w:r>
      <w:proofErr w:type="gramStart"/>
      <w:r>
        <w:t>at</w:t>
      </w:r>
      <w:proofErr w:type="gramEnd"/>
      <w:r>
        <w:t xml:space="preserve"> 31 January of the year of enrolment may only be enrolled in accordance with the Gifted and Talented policy. (General Enrolment Procedures: 2)</w:t>
      </w:r>
    </w:p>
    <w:p w14:paraId="61131D9E" w14:textId="77777777" w:rsidR="00666690" w:rsidRPr="000123A0" w:rsidRDefault="00666690" w:rsidP="00666690">
      <w:pPr>
        <w:jc w:val="both"/>
        <w:rPr>
          <w:rFonts w:asciiTheme="majorHAnsi" w:hAnsiTheme="majorHAnsi" w:cstheme="majorHAnsi"/>
          <w:b/>
          <w:bCs/>
          <w:sz w:val="32"/>
          <w:szCs w:val="28"/>
        </w:rPr>
      </w:pPr>
      <w:r w:rsidRPr="000123A0">
        <w:rPr>
          <w:rFonts w:asciiTheme="majorHAnsi" w:hAnsiTheme="majorHAnsi" w:cstheme="majorHAnsi"/>
          <w:b/>
          <w:bCs/>
          <w:sz w:val="32"/>
          <w:szCs w:val="28"/>
        </w:rPr>
        <w:t>Online Enrolments</w:t>
      </w:r>
    </w:p>
    <w:p w14:paraId="356428BD" w14:textId="77777777" w:rsidR="00666690" w:rsidRDefault="00666690" w:rsidP="00666690">
      <w:pPr>
        <w:jc w:val="both"/>
      </w:pPr>
      <w:r>
        <w:t>Online enrolment for new students is now available at Heaton Public School for both local and out of zone intake. Enrolment applications can be made through our school website under the ‘Enrolment’ tab.</w:t>
      </w:r>
    </w:p>
    <w:p w14:paraId="5E7BBB8A" w14:textId="77777777" w:rsidR="00666690" w:rsidRPr="00A862D7" w:rsidRDefault="00666690" w:rsidP="00666690">
      <w:pPr>
        <w:pStyle w:val="Heading1"/>
        <w:jc w:val="both"/>
        <w:rPr>
          <w:b/>
          <w:color w:val="auto"/>
        </w:rPr>
      </w:pPr>
      <w:bookmarkStart w:id="2" w:name="_Toc17968904"/>
      <w:r w:rsidRPr="00A862D7">
        <w:rPr>
          <w:b/>
          <w:color w:val="auto"/>
        </w:rPr>
        <w:t>Local Enrolment</w:t>
      </w:r>
      <w:bookmarkEnd w:id="2"/>
    </w:p>
    <w:p w14:paraId="4BD69804" w14:textId="77777777" w:rsidR="00666690" w:rsidRDefault="00666690" w:rsidP="00666690">
      <w:pPr>
        <w:jc w:val="both"/>
      </w:pPr>
      <w:r>
        <w:t xml:space="preserve">To determine if a student’s home is within a school’s local intake </w:t>
      </w:r>
      <w:proofErr w:type="gramStart"/>
      <w:r>
        <w:t>area</w:t>
      </w:r>
      <w:proofErr w:type="gramEnd"/>
      <w:r>
        <w:t xml:space="preserve"> please use the School Finder App by clicking on the button below (Use ‘Control’ and ‘Left Mouse Click’).</w:t>
      </w:r>
    </w:p>
    <w:p w14:paraId="7F622B40" w14:textId="74222B5C" w:rsidR="00243C6B" w:rsidRPr="00243C6B" w:rsidRDefault="00666690" w:rsidP="00243C6B">
      <w:r>
        <w:rPr>
          <w:noProof/>
          <w:lang w:eastAsia="en-AU"/>
        </w:rPr>
        <mc:AlternateContent>
          <mc:Choice Requires="wps">
            <w:drawing>
              <wp:anchor distT="0" distB="0" distL="114300" distR="114300" simplePos="0" relativeHeight="251662336" behindDoc="0" locked="0" layoutInCell="1" allowOverlap="1" wp14:anchorId="4F213529" wp14:editId="48013FE3">
                <wp:simplePos x="0" y="0"/>
                <wp:positionH relativeFrom="margin">
                  <wp:align>right</wp:align>
                </wp:positionH>
                <wp:positionV relativeFrom="paragraph">
                  <wp:posOffset>1882140</wp:posOffset>
                </wp:positionV>
                <wp:extent cx="1438275" cy="695325"/>
                <wp:effectExtent l="38100" t="57150" r="47625" b="47625"/>
                <wp:wrapNone/>
                <wp:docPr id="4" name="Rounded Rectangle 4">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438275" cy="695325"/>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a:scene3d>
                          <a:camera prst="orthographicFront"/>
                          <a:lightRig rig="threePt" dir="t"/>
                        </a:scene3d>
                        <a:sp3d>
                          <a:bevelT prst="relaxedInset"/>
                        </a:sp3d>
                      </wps:spPr>
                      <wps:style>
                        <a:lnRef idx="0">
                          <a:scrgbClr r="0" g="0" b="0"/>
                        </a:lnRef>
                        <a:fillRef idx="0">
                          <a:scrgbClr r="0" g="0" b="0"/>
                        </a:fillRef>
                        <a:effectRef idx="0">
                          <a:scrgbClr r="0" g="0" b="0"/>
                        </a:effectRef>
                        <a:fontRef idx="minor">
                          <a:schemeClr val="lt1"/>
                        </a:fontRef>
                      </wps:style>
                      <wps:txbx>
                        <w:txbxContent>
                          <w:p w14:paraId="66C431C7" w14:textId="77777777" w:rsidR="00666690" w:rsidRPr="00E34D4E" w:rsidRDefault="00666690" w:rsidP="00666690">
                            <w:pPr>
                              <w:jc w:val="center"/>
                            </w:pPr>
                            <w:r w:rsidRPr="00E34D4E">
                              <w:t>School Finder 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13529" id="Rounded Rectangle 4" o:spid="_x0000_s1026" href="https://education.nsw.gov.au/school-finder" style="position:absolute;margin-left:62.05pt;margin-top:148.2pt;width:113.25pt;height:5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" o:button="t" fillcolor="#af4f0f [2149]" stroked="f">
                <v:fill color2="#f4b083 [1941]" rotate="t" o:detectmouseclick="t" angle="180" colors="0 #b0500f;31457f #ee8137;1 #f4b183" focus="100%" type="gradient"/>
                <v:textbox>
                  <w:txbxContent>
                    <w:p w14:paraId="66C431C7" w14:textId="77777777" w:rsidR="00666690" w:rsidRPr="00E34D4E" w:rsidRDefault="00666690" w:rsidP="00666690">
                      <w:pPr>
                        <w:jc w:val="center"/>
                      </w:pPr>
                      <w:r w:rsidRPr="00E34D4E">
                        <w:t>School Finder App</w:t>
                      </w:r>
                    </w:p>
                  </w:txbxContent>
                </v:textbox>
                <w10:wrap anchorx="margin"/>
              </v:roundrect>
            </w:pict>
          </mc:Fallback>
        </mc:AlternateContent>
      </w:r>
      <w:r>
        <w:rPr>
          <w:noProof/>
          <w:lang w:eastAsia="en-AU"/>
        </w:rPr>
        <w:drawing>
          <wp:inline distT="0" distB="0" distL="0" distR="0" wp14:anchorId="72FCB7B6" wp14:editId="6420AF8F">
            <wp:extent cx="4962525" cy="3072301"/>
            <wp:effectExtent l="0" t="0" r="0" b="0"/>
            <wp:docPr id="23" name="Picture 2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ap&#10;&#10;Description automatically generated"/>
                    <pic:cNvPicPr/>
                  </pic:nvPicPr>
                  <pic:blipFill>
                    <a:blip r:embed="rId11"/>
                    <a:stretch>
                      <a:fillRect/>
                    </a:stretch>
                  </pic:blipFill>
                  <pic:spPr>
                    <a:xfrm>
                      <a:off x="0" y="0"/>
                      <a:ext cx="4980237" cy="3083267"/>
                    </a:xfrm>
                    <a:prstGeom prst="rect">
                      <a:avLst/>
                    </a:prstGeom>
                  </pic:spPr>
                </pic:pic>
              </a:graphicData>
            </a:graphic>
          </wp:inline>
        </w:drawing>
      </w:r>
      <w:bookmarkStart w:id="3" w:name="_Toc17968905"/>
    </w:p>
    <w:p w14:paraId="26AC07D1" w14:textId="30B49CFE" w:rsidR="00243C6B" w:rsidRDefault="00243C6B" w:rsidP="00243C6B">
      <w:pPr>
        <w:pStyle w:val="Heading1"/>
        <w:jc w:val="both"/>
        <w:rPr>
          <w:b/>
          <w:color w:val="auto"/>
        </w:rPr>
      </w:pPr>
      <w:r>
        <w:rPr>
          <w:noProof/>
        </w:rPr>
        <w:lastRenderedPageBreak/>
        <w:drawing>
          <wp:anchor distT="0" distB="0" distL="114300" distR="114300" simplePos="0" relativeHeight="251668480" behindDoc="0" locked="0" layoutInCell="1" allowOverlap="1" wp14:anchorId="1BF77B5E" wp14:editId="37936FBA">
            <wp:simplePos x="0" y="0"/>
            <wp:positionH relativeFrom="margin">
              <wp:posOffset>-647700</wp:posOffset>
            </wp:positionH>
            <wp:positionV relativeFrom="paragraph">
              <wp:posOffset>0</wp:posOffset>
            </wp:positionV>
            <wp:extent cx="2552700" cy="1004570"/>
            <wp:effectExtent l="0" t="0" r="0" b="508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2A359" w14:textId="77777777" w:rsidR="00243C6B" w:rsidRDefault="00243C6B" w:rsidP="00243C6B">
      <w:pPr>
        <w:pStyle w:val="Heading1"/>
        <w:jc w:val="both"/>
        <w:rPr>
          <w:b/>
          <w:color w:val="auto"/>
        </w:rPr>
      </w:pPr>
    </w:p>
    <w:p w14:paraId="224C2BCB" w14:textId="77777777" w:rsidR="00243C6B" w:rsidRDefault="00243C6B" w:rsidP="00243C6B">
      <w:pPr>
        <w:pStyle w:val="Heading1"/>
        <w:jc w:val="both"/>
        <w:rPr>
          <w:b/>
          <w:color w:val="auto"/>
        </w:rPr>
      </w:pPr>
    </w:p>
    <w:p w14:paraId="0BD8F79B" w14:textId="67617ED9" w:rsidR="00243C6B" w:rsidRPr="00A862D7" w:rsidRDefault="00243C6B" w:rsidP="00243C6B">
      <w:pPr>
        <w:pStyle w:val="Heading1"/>
        <w:jc w:val="both"/>
        <w:rPr>
          <w:b/>
          <w:color w:val="auto"/>
        </w:rPr>
      </w:pPr>
      <w:r w:rsidRPr="00A862D7">
        <w:rPr>
          <w:b/>
          <w:noProof/>
          <w:color w:val="auto"/>
          <w:lang w:eastAsia="en-AU"/>
        </w:rPr>
        <mc:AlternateContent>
          <mc:Choice Requires="wpg">
            <w:drawing>
              <wp:anchor distT="0" distB="0" distL="114300" distR="114300" simplePos="0" relativeHeight="251666432" behindDoc="1" locked="0" layoutInCell="1" allowOverlap="1" wp14:anchorId="6E51F72B" wp14:editId="59842614">
                <wp:simplePos x="0" y="0"/>
                <wp:positionH relativeFrom="column">
                  <wp:posOffset>5343525</wp:posOffset>
                </wp:positionH>
                <wp:positionV relativeFrom="paragraph">
                  <wp:posOffset>9525</wp:posOffset>
                </wp:positionV>
                <wp:extent cx="1159510" cy="4576445"/>
                <wp:effectExtent l="0" t="0" r="40640" b="0"/>
                <wp:wrapSquare wrapText="bothSides"/>
                <wp:docPr id="11" name="Group 12"/>
                <wp:cNvGraphicFramePr/>
                <a:graphic xmlns:a="http://schemas.openxmlformats.org/drawingml/2006/main">
                  <a:graphicData uri="http://schemas.microsoft.com/office/word/2010/wordprocessingGroup">
                    <wpg:wgp>
                      <wpg:cNvGrpSpPr/>
                      <wpg:grpSpPr>
                        <a:xfrm>
                          <a:off x="0" y="0"/>
                          <a:ext cx="1159510" cy="4576445"/>
                          <a:chOff x="9728" y="-38104"/>
                          <a:chExt cx="1160289" cy="4023176"/>
                        </a:xfrm>
                      </wpg:grpSpPr>
                      <wpg:grpSp>
                        <wpg:cNvPr id="12" name="Group 12"/>
                        <wpg:cNvGrpSpPr/>
                        <wpg:grpSpPr>
                          <a:xfrm>
                            <a:off x="9728" y="186277"/>
                            <a:ext cx="1160289" cy="3491613"/>
                            <a:chOff x="9728" y="186277"/>
                            <a:chExt cx="1160289" cy="1702633"/>
                          </a:xfrm>
                        </wpg:grpSpPr>
                        <wps:wsp>
                          <wps:cNvPr id="13" name="Rectangle 13"/>
                          <wps:cNvSpPr/>
                          <wps:spPr>
                            <a:xfrm>
                              <a:off x="268683" y="559508"/>
                              <a:ext cx="545566" cy="1329402"/>
                            </a:xfrm>
                            <a:prstGeom prst="rect">
                              <a:avLst/>
                            </a:prstGeom>
                            <a:solidFill>
                              <a:srgbClr val="385E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9728" y="186277"/>
                              <a:ext cx="1160289"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9728" y="422038"/>
                              <a:ext cx="1160289" cy="0"/>
                            </a:xfrm>
                            <a:prstGeom prst="line">
                              <a:avLst/>
                            </a:prstGeom>
                            <a:ln w="571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16" name="TextBox 14"/>
                        <wps:cNvSpPr txBox="1"/>
                        <wps:spPr>
                          <a:xfrm>
                            <a:off x="228668" y="-38104"/>
                            <a:ext cx="679016" cy="252758"/>
                          </a:xfrm>
                          <a:prstGeom prst="rect">
                            <a:avLst/>
                          </a:prstGeom>
                          <a:noFill/>
                        </wps:spPr>
                        <wps:txbx>
                          <w:txbxContent>
                            <w:p w14:paraId="29857847" w14:textId="77777777" w:rsidR="00243C6B" w:rsidRDefault="00243C6B" w:rsidP="00243C6B">
                              <w:pPr>
                                <w:pStyle w:val="NormalWeb"/>
                                <w:spacing w:before="0" w:beforeAutospacing="0" w:after="0" w:afterAutospacing="0"/>
                              </w:pPr>
                              <w:r>
                                <w:rPr>
                                  <w:rFonts w:asciiTheme="minorHAnsi" w:hAnsi="Calibri" w:cstheme="minorBidi"/>
                                  <w:color w:val="000000" w:themeColor="text1"/>
                                  <w:kern w:val="24"/>
                                  <w:sz w:val="18"/>
                                  <w:szCs w:val="18"/>
                                </w:rPr>
                                <w:t>Enrolment cap</w:t>
                              </w:r>
                            </w:p>
                          </w:txbxContent>
                        </wps:txbx>
                        <wps:bodyPr wrap="none" lIns="0" tIns="0" rIns="0" bIns="0" rtlCol="0">
                          <a:noAutofit/>
                        </wps:bodyPr>
                      </wps:wsp>
                      <wps:wsp>
                        <wps:cNvPr id="20" name="TextBox 15"/>
                        <wps:cNvSpPr txBox="1"/>
                        <wps:spPr>
                          <a:xfrm>
                            <a:off x="304890" y="698936"/>
                            <a:ext cx="530860" cy="252730"/>
                          </a:xfrm>
                          <a:prstGeom prst="rect">
                            <a:avLst/>
                          </a:prstGeom>
                          <a:noFill/>
                        </wps:spPr>
                        <wps:txbx>
                          <w:txbxContent>
                            <w:p w14:paraId="16A5274F" w14:textId="77777777" w:rsidR="00243C6B" w:rsidRDefault="00243C6B" w:rsidP="00243C6B">
                              <w:pPr>
                                <w:pStyle w:val="NormalWeb"/>
                                <w:spacing w:before="0" w:beforeAutospacing="0" w:after="0" w:afterAutospacing="0"/>
                              </w:pPr>
                              <w:r>
                                <w:rPr>
                                  <w:rFonts w:asciiTheme="minorHAnsi" w:hAnsi="Calibri" w:cstheme="minorBidi"/>
                                  <w:color w:val="000000" w:themeColor="text1"/>
                                  <w:kern w:val="24"/>
                                  <w:sz w:val="18"/>
                                  <w:szCs w:val="18"/>
                                </w:rPr>
                                <w:t>Buffer level</w:t>
                              </w:r>
                            </w:p>
                          </w:txbxContent>
                        </wps:txbx>
                        <wps:bodyPr wrap="none" lIns="0" tIns="0" rIns="0" bIns="0" rtlCol="0">
                          <a:noAutofit/>
                        </wps:bodyPr>
                      </wps:wsp>
                      <wps:wsp>
                        <wps:cNvPr id="21" name="TextBox 16"/>
                        <wps:cNvSpPr txBox="1"/>
                        <wps:spPr>
                          <a:xfrm>
                            <a:off x="237337" y="3732342"/>
                            <a:ext cx="490220" cy="252730"/>
                          </a:xfrm>
                          <a:prstGeom prst="rect">
                            <a:avLst/>
                          </a:prstGeom>
                          <a:noFill/>
                        </wps:spPr>
                        <wps:txbx>
                          <w:txbxContent>
                            <w:p w14:paraId="66075E5A" w14:textId="77777777" w:rsidR="00243C6B" w:rsidRDefault="00243C6B" w:rsidP="00243C6B">
                              <w:pPr>
                                <w:pStyle w:val="NormalWeb"/>
                                <w:spacing w:before="0" w:beforeAutospacing="0" w:after="0" w:afterAutospacing="0"/>
                                <w:jc w:val="center"/>
                              </w:pPr>
                              <w:r>
                                <w:rPr>
                                  <w:rFonts w:asciiTheme="minorHAnsi" w:hAnsi="Calibri" w:cstheme="minorBidi"/>
                                  <w:color w:val="000000" w:themeColor="text1"/>
                                  <w:kern w:val="24"/>
                                  <w:sz w:val="18"/>
                                  <w:szCs w:val="18"/>
                                </w:rPr>
                                <w:t>Enrolment</w:t>
                              </w:r>
                            </w:p>
                          </w:txbxContent>
                        </wps:txbx>
                        <wps:bodyPr wrap="non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E51F72B" id="Group 12" o:spid="_x0000_s1027" style="position:absolute;left:0;text-align:left;margin-left:420.75pt;margin-top:.75pt;width:91.3pt;height:360.35pt;z-index:-251650048;mso-width-relative:margin;mso-height-relative:margin" coordorigin="97,-381" coordsize="11602,4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">
                <v:group id="_x0000_s1028" style="position:absolute;left:97;top:1862;width:11603;height:34916" coordorigin="97,1862" coordsize="11602,17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29" style="position:absolute;left:2686;top:5595;width:5456;height:13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" fillcolor="#385e9d" stroked="f" strokeweight="1pt"/>
                  <v:line id="Straight Connector 14" o:spid="_x0000_s1030" style="position:absolute;visibility:visible;mso-wrap-style:square" from="97,1862" to="11700,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" strokecolor="#c00000" strokeweight="4.5pt">
                    <v:stroke joinstyle="miter"/>
                  </v:line>
                  <v:line id="Straight Connector 15" o:spid="_x0000_s1031" style="position:absolute;visibility:visible;mso-wrap-style:square" from="97,4220" to="11700,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" strokecolor="#c00000" strokeweight="4.5pt">
                    <v:stroke dashstyle="1 1" joinstyle="miter"/>
                  </v:line>
                </v:group>
                <v:shapetype id="_x0000_t202" coordsize="21600,21600" o:spt="202" path="m,l,21600r21600,l21600,xe">
                  <v:stroke joinstyle="miter"/>
                  <v:path gradientshapeok="t" o:connecttype="rect"/>
                </v:shapetype>
                <v:shape id="TextBox 14" o:spid="_x0000_s1032" type="#_x0000_t202" style="position:absolute;left:2286;top:-381;width:6790;height:2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" filled="f" stroked="f">
                  <v:textbox inset="0,0,0,0">
                    <w:txbxContent>
                      <w:p w14:paraId="29857847" w14:textId="77777777" w:rsidR="00243C6B" w:rsidRDefault="00243C6B" w:rsidP="00243C6B">
                        <w:pPr>
                          <w:pStyle w:val="NormalWeb"/>
                          <w:spacing w:before="0" w:beforeAutospacing="0" w:after="0" w:afterAutospacing="0"/>
                        </w:pPr>
                        <w:r>
                          <w:rPr>
                            <w:rFonts w:asciiTheme="minorHAnsi" w:hAnsi="Calibri" w:cstheme="minorBidi"/>
                            <w:color w:val="000000" w:themeColor="text1"/>
                            <w:kern w:val="24"/>
                            <w:sz w:val="18"/>
                            <w:szCs w:val="18"/>
                          </w:rPr>
                          <w:t>Enrolment cap</w:t>
                        </w:r>
                      </w:p>
                    </w:txbxContent>
                  </v:textbox>
                </v:shape>
                <v:shape id="TextBox 15" o:spid="_x0000_s1033" type="#_x0000_t202" style="position:absolute;left:3048;top:6989;width:5309;height:2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" filled="f" stroked="f">
                  <v:textbox inset="0,0,0,0">
                    <w:txbxContent>
                      <w:p w14:paraId="16A5274F" w14:textId="77777777" w:rsidR="00243C6B" w:rsidRDefault="00243C6B" w:rsidP="00243C6B">
                        <w:pPr>
                          <w:pStyle w:val="NormalWeb"/>
                          <w:spacing w:before="0" w:beforeAutospacing="0" w:after="0" w:afterAutospacing="0"/>
                        </w:pPr>
                        <w:r>
                          <w:rPr>
                            <w:rFonts w:asciiTheme="minorHAnsi" w:hAnsi="Calibri" w:cstheme="minorBidi"/>
                            <w:color w:val="000000" w:themeColor="text1"/>
                            <w:kern w:val="24"/>
                            <w:sz w:val="18"/>
                            <w:szCs w:val="18"/>
                          </w:rPr>
                          <w:t>Buffer level</w:t>
                        </w:r>
                      </w:p>
                    </w:txbxContent>
                  </v:textbox>
                </v:shape>
                <v:shape id="TextBox 16" o:spid="_x0000_s1034" type="#_x0000_t202" style="position:absolute;left:2373;top:37323;width:4902;height:2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" filled="f" stroked="f">
                  <v:textbox inset="0,0,0,0">
                    <w:txbxContent>
                      <w:p w14:paraId="66075E5A" w14:textId="77777777" w:rsidR="00243C6B" w:rsidRDefault="00243C6B" w:rsidP="00243C6B">
                        <w:pPr>
                          <w:pStyle w:val="NormalWeb"/>
                          <w:spacing w:before="0" w:beforeAutospacing="0" w:after="0" w:afterAutospacing="0"/>
                          <w:jc w:val="center"/>
                        </w:pPr>
                        <w:r>
                          <w:rPr>
                            <w:rFonts w:asciiTheme="minorHAnsi" w:hAnsi="Calibri" w:cstheme="minorBidi"/>
                            <w:color w:val="000000" w:themeColor="text1"/>
                            <w:kern w:val="24"/>
                            <w:sz w:val="18"/>
                            <w:szCs w:val="18"/>
                          </w:rPr>
                          <w:t>Enrolment</w:t>
                        </w:r>
                      </w:p>
                    </w:txbxContent>
                  </v:textbox>
                </v:shape>
                <w10:wrap type="square"/>
              </v:group>
            </w:pict>
          </mc:Fallback>
        </mc:AlternateContent>
      </w:r>
      <w:r w:rsidRPr="00A862D7">
        <w:rPr>
          <w:b/>
          <w:color w:val="auto"/>
        </w:rPr>
        <w:t>Enrolment cap</w:t>
      </w:r>
      <w:bookmarkEnd w:id="3"/>
    </w:p>
    <w:p w14:paraId="1D9FBBBE" w14:textId="77777777" w:rsidR="00243C6B" w:rsidRDefault="00243C6B" w:rsidP="00243C6B">
      <w:pPr>
        <w:jc w:val="both"/>
      </w:pPr>
      <w:r>
        <w:t xml:space="preserve">The Enrolment Cap for a school is established centrally based on permanent accommodation. </w:t>
      </w:r>
    </w:p>
    <w:p w14:paraId="13F237FA" w14:textId="77777777" w:rsidR="00243C6B" w:rsidRDefault="00243C6B" w:rsidP="00243C6B">
      <w:pPr>
        <w:jc w:val="both"/>
      </w:pPr>
      <w:r>
        <w:t xml:space="preserve">The enrolment cap for Heaton Public School is 185. </w:t>
      </w:r>
    </w:p>
    <w:p w14:paraId="4E5A1E07" w14:textId="77777777" w:rsidR="00243C6B" w:rsidRPr="00627FB9" w:rsidRDefault="00243C6B" w:rsidP="00243C6B">
      <w:pPr>
        <w:jc w:val="both"/>
      </w:pPr>
      <w:r>
        <w:t>(General Enrolment Procedures: 9.1)</w:t>
      </w:r>
    </w:p>
    <w:p w14:paraId="723ED2D3" w14:textId="77777777" w:rsidR="00243C6B" w:rsidRDefault="00243C6B" w:rsidP="00243C6B"/>
    <w:p w14:paraId="6F2AD226" w14:textId="77777777" w:rsidR="00243C6B" w:rsidRPr="00A862D7" w:rsidRDefault="00243C6B" w:rsidP="00243C6B">
      <w:pPr>
        <w:pStyle w:val="Heading1"/>
        <w:jc w:val="both"/>
        <w:rPr>
          <w:b/>
          <w:color w:val="auto"/>
        </w:rPr>
      </w:pPr>
      <w:bookmarkStart w:id="4" w:name="_Toc17968906"/>
      <w:r w:rsidRPr="00A862D7">
        <w:rPr>
          <w:b/>
          <w:color w:val="auto"/>
        </w:rPr>
        <w:t>Local enrolment buffer</w:t>
      </w:r>
      <w:bookmarkEnd w:id="4"/>
    </w:p>
    <w:p w14:paraId="58CCF26A" w14:textId="77777777" w:rsidR="00243C6B" w:rsidRDefault="00243C6B" w:rsidP="00243C6B">
      <w:pPr>
        <w:jc w:val="both"/>
      </w:pPr>
      <w:r>
        <w:t xml:space="preserve">Within the enrolment cap, </w:t>
      </w:r>
      <w:proofErr w:type="gramStart"/>
      <w:r>
        <w:t>a number of</w:t>
      </w:r>
      <w:proofErr w:type="gramEnd"/>
      <w:r>
        <w:t xml:space="preserve"> enrolment places (the buffer) must be set aside for the enrolment of local students arriving throughout the year. The size of the buffer will differ in each school based on historical data, enrolment fluctuations and on the number of families moving into or out of the area. The size of the local enrolment buffer is set locally by the principal and approved by the Director, Educational Leadership. </w:t>
      </w:r>
    </w:p>
    <w:p w14:paraId="511FD24F" w14:textId="5F38BFDE" w:rsidR="00243C6B" w:rsidRDefault="00243C6B" w:rsidP="00243C6B">
      <w:pPr>
        <w:jc w:val="both"/>
      </w:pPr>
      <w:r>
        <w:t>It is reviewed annually and set in time for assessing applications for the following year’s enrolment intake. Places in the local enrolment buffer are not to be offered to non-local students. (General Enrolment Procedures: 9.2)</w:t>
      </w:r>
    </w:p>
    <w:p w14:paraId="4CD40793" w14:textId="77777777" w:rsidR="00243C6B" w:rsidRDefault="00243C6B" w:rsidP="00243C6B">
      <w:pPr>
        <w:jc w:val="both"/>
      </w:pPr>
      <w:r>
        <w:t>The Enrolment Buffer for Heaton Public School is 10 students.</w:t>
      </w:r>
    </w:p>
    <w:p w14:paraId="3B0E1E34" w14:textId="77777777" w:rsidR="00243C6B" w:rsidRPr="00A862D7" w:rsidRDefault="00243C6B" w:rsidP="00243C6B">
      <w:pPr>
        <w:pStyle w:val="Heading1"/>
        <w:jc w:val="both"/>
        <w:rPr>
          <w:b/>
          <w:color w:val="auto"/>
        </w:rPr>
      </w:pPr>
      <w:bookmarkStart w:id="5" w:name="_Toc17968907"/>
      <w:r w:rsidRPr="00A862D7">
        <w:rPr>
          <w:b/>
          <w:color w:val="auto"/>
        </w:rPr>
        <w:t>Non-local enrolment</w:t>
      </w:r>
      <w:bookmarkEnd w:id="5"/>
    </w:p>
    <w:p w14:paraId="27A973A7" w14:textId="77777777" w:rsidR="00243C6B" w:rsidRPr="00627FB9" w:rsidRDefault="00243C6B" w:rsidP="00243C6B">
      <w:pPr>
        <w:jc w:val="both"/>
      </w:pPr>
      <w:r>
        <w:t>Non-local enrolment applications are only considered by schools that can accommodate the child below the set local enrolment buffer level. (General Enrolment Procedures: 9.4)</w:t>
      </w:r>
    </w:p>
    <w:p w14:paraId="2AC6A170" w14:textId="77777777" w:rsidR="00243C6B" w:rsidRPr="00A862D7" w:rsidRDefault="00243C6B" w:rsidP="00243C6B">
      <w:pPr>
        <w:jc w:val="both"/>
      </w:pPr>
      <w:r>
        <w:t>Except for enrolments at the commencement of the school year, schools that have not reached their local enrolment buffer level should only accommodate non-local enrolments into classes with available places. (General Enrolment Procedures: 9.4)</w:t>
      </w:r>
    </w:p>
    <w:p w14:paraId="212C2260" w14:textId="77777777" w:rsidR="00243C6B" w:rsidRPr="00627FB9" w:rsidRDefault="00243C6B" w:rsidP="00243C6B">
      <w:pPr>
        <w:jc w:val="both"/>
      </w:pPr>
      <w:r w:rsidRPr="00A862D7">
        <w:t xml:space="preserve">Non-local enrolment applications include the </w:t>
      </w:r>
      <w:hyperlink r:id="rId12" w:history="1">
        <w:r w:rsidRPr="00A862D7">
          <w:rPr>
            <w:rStyle w:val="Hyperlink"/>
            <w:color w:val="2E74B5" w:themeColor="accent5" w:themeShade="BF"/>
          </w:rPr>
          <w:t>Application to enrol in a NSW Government school</w:t>
        </w:r>
      </w:hyperlink>
      <w:r w:rsidRPr="00A862D7">
        <w:rPr>
          <w:color w:val="2E74B5" w:themeColor="accent5" w:themeShade="BF"/>
        </w:rPr>
        <w:t xml:space="preserve"> </w:t>
      </w:r>
      <w:r>
        <w:t>and a non-local enrolment application form. The non-local enrolment application form is developed by the school and requires the applicant to address the selection criteria and provide supporting documentation. (General Enrolment Procedures: 9.4.1)</w:t>
      </w:r>
    </w:p>
    <w:p w14:paraId="352F8ACD" w14:textId="77777777" w:rsidR="00243C6B" w:rsidRDefault="00243C6B" w:rsidP="00243C6B"/>
    <w:p w14:paraId="424438F1" w14:textId="77777777" w:rsidR="00243C6B" w:rsidRPr="00A862D7" w:rsidRDefault="00243C6B" w:rsidP="00243C6B">
      <w:pPr>
        <w:pStyle w:val="Heading1"/>
        <w:jc w:val="both"/>
        <w:rPr>
          <w:b/>
          <w:color w:val="auto"/>
        </w:rPr>
      </w:pPr>
      <w:bookmarkStart w:id="6" w:name="_Toc17968908"/>
      <w:r w:rsidRPr="00A862D7">
        <w:rPr>
          <w:b/>
          <w:color w:val="auto"/>
        </w:rPr>
        <w:t>Criteria</w:t>
      </w:r>
      <w:bookmarkEnd w:id="6"/>
    </w:p>
    <w:p w14:paraId="4E495515" w14:textId="77777777" w:rsidR="00243C6B" w:rsidRPr="00627FB9" w:rsidRDefault="00243C6B" w:rsidP="00243C6B">
      <w:pPr>
        <w:jc w:val="both"/>
      </w:pPr>
      <w:r>
        <w:t>The criteria, listed below, for the enrolment of non-local students has been developed by the Principal, Mr Andrew Hilton, after consultation with the school community. (General Enrolment Procedures: 9.4.2)</w:t>
      </w:r>
    </w:p>
    <w:p w14:paraId="72745F04" w14:textId="3392E7FE" w:rsidR="00F61934" w:rsidRDefault="00F61934"/>
    <w:p w14:paraId="25DABF03" w14:textId="660D7F9D" w:rsidR="00243543" w:rsidRDefault="00243543">
      <w:r>
        <w:rPr>
          <w:noProof/>
        </w:rPr>
        <w:lastRenderedPageBreak/>
        <w:drawing>
          <wp:anchor distT="0" distB="0" distL="114300" distR="114300" simplePos="0" relativeHeight="251670528" behindDoc="0" locked="0" layoutInCell="1" allowOverlap="1" wp14:anchorId="6783754D" wp14:editId="06EE96CA">
            <wp:simplePos x="0" y="0"/>
            <wp:positionH relativeFrom="margin">
              <wp:posOffset>-581025</wp:posOffset>
            </wp:positionH>
            <wp:positionV relativeFrom="paragraph">
              <wp:posOffset>8890</wp:posOffset>
            </wp:positionV>
            <wp:extent cx="2552700" cy="1004570"/>
            <wp:effectExtent l="0" t="0" r="0" b="508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B43E6" w14:textId="5EE979BA" w:rsidR="00243543" w:rsidRDefault="00243543"/>
    <w:p w14:paraId="3DEFD05A" w14:textId="4EB29781" w:rsidR="00243543" w:rsidRDefault="00243543"/>
    <w:p w14:paraId="346B0B94" w14:textId="09A7ECD5" w:rsidR="00243543" w:rsidRDefault="00243543"/>
    <w:p w14:paraId="12D3AEE1" w14:textId="5DE8A94E" w:rsidR="00243543" w:rsidRDefault="00243543"/>
    <w:p w14:paraId="1A57E974" w14:textId="77777777" w:rsidR="00243543" w:rsidRPr="009A4A26" w:rsidRDefault="00243543" w:rsidP="00243543">
      <w:pPr>
        <w:pStyle w:val="NoSpacing"/>
        <w:numPr>
          <w:ilvl w:val="0"/>
          <w:numId w:val="1"/>
        </w:numPr>
        <w:rPr>
          <w:b/>
          <w:sz w:val="24"/>
        </w:rPr>
      </w:pPr>
      <w:r w:rsidRPr="000E7FA1">
        <w:rPr>
          <w:sz w:val="24"/>
        </w:rPr>
        <w:t>siblings already enrolled at the school</w:t>
      </w:r>
    </w:p>
    <w:p w14:paraId="39A3D2D2" w14:textId="77777777" w:rsidR="00243543" w:rsidRPr="009A4A26" w:rsidRDefault="00243543" w:rsidP="00243543">
      <w:pPr>
        <w:pStyle w:val="NoSpacing"/>
        <w:numPr>
          <w:ilvl w:val="0"/>
          <w:numId w:val="1"/>
        </w:numPr>
        <w:rPr>
          <w:b/>
          <w:sz w:val="24"/>
        </w:rPr>
      </w:pPr>
      <w:r w:rsidRPr="000E7FA1">
        <w:rPr>
          <w:sz w:val="24"/>
        </w:rPr>
        <w:t xml:space="preserve">compassionate circumstances </w:t>
      </w:r>
    </w:p>
    <w:p w14:paraId="5CDB874C" w14:textId="77777777" w:rsidR="00243543" w:rsidRPr="009A4A26" w:rsidRDefault="00243543" w:rsidP="00243543">
      <w:pPr>
        <w:pStyle w:val="NoSpacing"/>
        <w:numPr>
          <w:ilvl w:val="0"/>
          <w:numId w:val="1"/>
        </w:numPr>
        <w:rPr>
          <w:b/>
          <w:sz w:val="24"/>
        </w:rPr>
      </w:pPr>
      <w:r w:rsidRPr="000E7FA1">
        <w:rPr>
          <w:sz w:val="24"/>
        </w:rPr>
        <w:t xml:space="preserve">medical reasons </w:t>
      </w:r>
    </w:p>
    <w:p w14:paraId="6CE2539C" w14:textId="77777777" w:rsidR="00243543" w:rsidRPr="009A4A26" w:rsidRDefault="00243543" w:rsidP="00243543">
      <w:pPr>
        <w:pStyle w:val="NoSpacing"/>
        <w:numPr>
          <w:ilvl w:val="0"/>
          <w:numId w:val="1"/>
        </w:numPr>
        <w:rPr>
          <w:b/>
          <w:sz w:val="24"/>
        </w:rPr>
      </w:pPr>
      <w:r w:rsidRPr="009A4A26">
        <w:rPr>
          <w:sz w:val="24"/>
        </w:rPr>
        <w:t xml:space="preserve">structure and organisation of the school </w:t>
      </w:r>
    </w:p>
    <w:p w14:paraId="41AE822E" w14:textId="77777777" w:rsidR="00243543" w:rsidRPr="000E7FA1" w:rsidRDefault="00243543" w:rsidP="00243543">
      <w:pPr>
        <w:pStyle w:val="NoSpacing"/>
        <w:numPr>
          <w:ilvl w:val="0"/>
          <w:numId w:val="1"/>
        </w:numPr>
        <w:rPr>
          <w:b/>
          <w:sz w:val="24"/>
        </w:rPr>
      </w:pPr>
      <w:r w:rsidRPr="000E7FA1">
        <w:rPr>
          <w:sz w:val="24"/>
        </w:rPr>
        <w:t>proximity and access to the school</w:t>
      </w:r>
    </w:p>
    <w:p w14:paraId="5EC4F7F3" w14:textId="77777777" w:rsidR="00243543" w:rsidRPr="000E7FA1" w:rsidRDefault="00243543" w:rsidP="00243543">
      <w:pPr>
        <w:pStyle w:val="NoSpacing"/>
        <w:numPr>
          <w:ilvl w:val="0"/>
          <w:numId w:val="1"/>
        </w:numPr>
        <w:rPr>
          <w:b/>
          <w:sz w:val="24"/>
        </w:rPr>
      </w:pPr>
      <w:r w:rsidRPr="000E7FA1">
        <w:rPr>
          <w:sz w:val="24"/>
        </w:rPr>
        <w:t xml:space="preserve">safety and supervision of the student before and after school </w:t>
      </w:r>
    </w:p>
    <w:p w14:paraId="45690BEE" w14:textId="77777777" w:rsidR="00243543" w:rsidRPr="009A4A26" w:rsidRDefault="00243543" w:rsidP="00243543">
      <w:pPr>
        <w:pStyle w:val="NoSpacing"/>
        <w:numPr>
          <w:ilvl w:val="0"/>
          <w:numId w:val="1"/>
        </w:numPr>
        <w:rPr>
          <w:b/>
          <w:sz w:val="24"/>
        </w:rPr>
      </w:pPr>
      <w:r w:rsidRPr="000E7FA1">
        <w:rPr>
          <w:sz w:val="24"/>
        </w:rPr>
        <w:t>recent change in the local intake area boundaries</w:t>
      </w:r>
    </w:p>
    <w:p w14:paraId="69FB7D74" w14:textId="77777777" w:rsidR="00243543" w:rsidRPr="000E7FA1" w:rsidRDefault="00243543" w:rsidP="00243543">
      <w:pPr>
        <w:pStyle w:val="NoSpacing"/>
        <w:ind w:left="720"/>
        <w:rPr>
          <w:b/>
          <w:sz w:val="24"/>
        </w:rPr>
      </w:pPr>
    </w:p>
    <w:p w14:paraId="7008BCBB" w14:textId="77777777" w:rsidR="00243543" w:rsidRDefault="00243543" w:rsidP="00243543">
      <w:pPr>
        <w:pStyle w:val="NoSpacing"/>
        <w:rPr>
          <w:sz w:val="24"/>
        </w:rPr>
      </w:pPr>
    </w:p>
    <w:p w14:paraId="1A3D39DD" w14:textId="77777777" w:rsidR="00243543" w:rsidRPr="000E7FA1" w:rsidRDefault="00243543" w:rsidP="00243543">
      <w:pPr>
        <w:pStyle w:val="NoSpacing"/>
        <w:jc w:val="both"/>
        <w:rPr>
          <w:sz w:val="24"/>
        </w:rPr>
      </w:pPr>
      <w:r w:rsidRPr="000E7FA1">
        <w:rPr>
          <w:sz w:val="24"/>
        </w:rPr>
        <w:t xml:space="preserve">Criteria must not include student ability, </w:t>
      </w:r>
      <w:proofErr w:type="gramStart"/>
      <w:r w:rsidRPr="000E7FA1">
        <w:rPr>
          <w:sz w:val="24"/>
        </w:rPr>
        <w:t>performance</w:t>
      </w:r>
      <w:proofErr w:type="gramEnd"/>
      <w:r w:rsidRPr="000E7FA1">
        <w:rPr>
          <w:sz w:val="24"/>
        </w:rPr>
        <w:t xml:space="preserve"> or achievement. Priority should be given to siblings of currently enrolled students, where possible.</w:t>
      </w:r>
    </w:p>
    <w:p w14:paraId="39E1845D" w14:textId="77777777" w:rsidR="00243543" w:rsidRPr="000E7FA1" w:rsidRDefault="00243543" w:rsidP="00243543">
      <w:pPr>
        <w:pStyle w:val="NoSpacing"/>
        <w:rPr>
          <w:sz w:val="24"/>
        </w:rPr>
      </w:pPr>
    </w:p>
    <w:p w14:paraId="1B9FBCA7" w14:textId="77777777" w:rsidR="00243543" w:rsidRPr="000E7FA1" w:rsidRDefault="00243543" w:rsidP="00243543">
      <w:pPr>
        <w:pStyle w:val="NoSpacing"/>
        <w:jc w:val="both"/>
        <w:rPr>
          <w:sz w:val="24"/>
        </w:rPr>
      </w:pPr>
      <w:r w:rsidRPr="000E7FA1">
        <w:rPr>
          <w:sz w:val="24"/>
        </w:rPr>
        <w:t xml:space="preserve">Only specialist schools, for example sports or performing arts high schools, may include student ability, </w:t>
      </w:r>
      <w:proofErr w:type="gramStart"/>
      <w:r w:rsidRPr="000E7FA1">
        <w:rPr>
          <w:sz w:val="24"/>
        </w:rPr>
        <w:t>performance</w:t>
      </w:r>
      <w:proofErr w:type="gramEnd"/>
      <w:r w:rsidRPr="000E7FA1">
        <w:rPr>
          <w:sz w:val="24"/>
        </w:rPr>
        <w:t xml:space="preserve"> or achievement in the school’s specialisation within the criteria for non-local enrolment. </w:t>
      </w:r>
    </w:p>
    <w:p w14:paraId="5A15167A" w14:textId="77777777" w:rsidR="00243543" w:rsidRPr="000E7FA1" w:rsidRDefault="00243543" w:rsidP="00243543">
      <w:pPr>
        <w:pStyle w:val="NoSpacing"/>
        <w:rPr>
          <w:sz w:val="24"/>
        </w:rPr>
      </w:pPr>
    </w:p>
    <w:p w14:paraId="760C2EEB" w14:textId="77777777" w:rsidR="00243543" w:rsidRPr="000E7FA1" w:rsidRDefault="00243543" w:rsidP="00243543">
      <w:pPr>
        <w:pStyle w:val="NoSpacing"/>
        <w:jc w:val="both"/>
        <w:rPr>
          <w:b/>
          <w:sz w:val="28"/>
        </w:rPr>
      </w:pPr>
      <w:r w:rsidRPr="000E7FA1">
        <w:rPr>
          <w:sz w:val="24"/>
        </w:rPr>
        <w:t>It should be made clear what priority is given to each of the criteria. The criteria should be made available to the school community and parents who are interested in enrolling their children. Schools ensure that information about selection criteria, the choice of courses or programs available is accessible in a way that enables the student and parents to make informed choices.</w:t>
      </w:r>
    </w:p>
    <w:p w14:paraId="4C70DD17" w14:textId="77777777" w:rsidR="00243543" w:rsidRPr="00A862D7" w:rsidRDefault="00243543" w:rsidP="00243543">
      <w:pPr>
        <w:pStyle w:val="Heading1"/>
        <w:jc w:val="both"/>
        <w:rPr>
          <w:b/>
          <w:color w:val="auto"/>
        </w:rPr>
      </w:pPr>
      <w:bookmarkStart w:id="7" w:name="_Toc17968909"/>
      <w:r w:rsidRPr="00A862D7">
        <w:rPr>
          <w:b/>
          <w:color w:val="auto"/>
        </w:rPr>
        <w:t>Enrolment Panel</w:t>
      </w:r>
      <w:bookmarkEnd w:id="7"/>
    </w:p>
    <w:p w14:paraId="20DE8E9A" w14:textId="77777777" w:rsidR="00243543" w:rsidRPr="00627FB9" w:rsidRDefault="00243543" w:rsidP="00243543">
      <w:pPr>
        <w:jc w:val="both"/>
      </w:pPr>
      <w:r>
        <w:t>When demand for non-local enrolment exceeds the number of places available below the local enrolment buffer the school will establish an Enrolment Panel to consider all applications against the above criteria. (General Enrolment Procedures: 9.4)</w:t>
      </w:r>
    </w:p>
    <w:p w14:paraId="15117C38" w14:textId="77777777" w:rsidR="00243543" w:rsidRDefault="00243543" w:rsidP="00243543">
      <w:pPr>
        <w:pStyle w:val="NoSpacing"/>
      </w:pPr>
    </w:p>
    <w:tbl>
      <w:tblPr>
        <w:tblStyle w:val="TableGrid"/>
        <w:tblW w:w="0" w:type="auto"/>
        <w:tblLook w:val="04A0" w:firstRow="1" w:lastRow="0" w:firstColumn="1" w:lastColumn="0" w:noHBand="0" w:noVBand="1"/>
      </w:tblPr>
      <w:tblGrid>
        <w:gridCol w:w="1555"/>
        <w:gridCol w:w="7461"/>
      </w:tblGrid>
      <w:tr w:rsidR="00243543" w14:paraId="2C09320C" w14:textId="77777777" w:rsidTr="00B060E1">
        <w:tc>
          <w:tcPr>
            <w:tcW w:w="1555" w:type="dxa"/>
          </w:tcPr>
          <w:p w14:paraId="5AD734C1" w14:textId="77777777" w:rsidR="00243543" w:rsidRDefault="00243543" w:rsidP="00B060E1">
            <w:pPr>
              <w:jc w:val="both"/>
            </w:pPr>
            <w:r>
              <w:t>1</w:t>
            </w:r>
          </w:p>
        </w:tc>
        <w:tc>
          <w:tcPr>
            <w:tcW w:w="7461" w:type="dxa"/>
          </w:tcPr>
          <w:p w14:paraId="0D0FA3BD" w14:textId="77777777" w:rsidR="00243543" w:rsidRDefault="00243543" w:rsidP="00B060E1">
            <w:pPr>
              <w:jc w:val="both"/>
            </w:pPr>
            <w:r>
              <w:t>School Executive - Chairperson</w:t>
            </w:r>
          </w:p>
        </w:tc>
      </w:tr>
      <w:tr w:rsidR="00243543" w14:paraId="09D9675A" w14:textId="77777777" w:rsidTr="00B060E1">
        <w:tc>
          <w:tcPr>
            <w:tcW w:w="1555" w:type="dxa"/>
          </w:tcPr>
          <w:p w14:paraId="77D1CC86" w14:textId="77777777" w:rsidR="00243543" w:rsidRDefault="00243543" w:rsidP="00B060E1">
            <w:pPr>
              <w:jc w:val="both"/>
            </w:pPr>
            <w:r>
              <w:t>2</w:t>
            </w:r>
          </w:p>
        </w:tc>
        <w:tc>
          <w:tcPr>
            <w:tcW w:w="7461" w:type="dxa"/>
          </w:tcPr>
          <w:p w14:paraId="46A02C89" w14:textId="77777777" w:rsidR="00243543" w:rsidRDefault="00243543" w:rsidP="00B060E1">
            <w:pPr>
              <w:jc w:val="both"/>
            </w:pPr>
            <w:r>
              <w:t xml:space="preserve">Staff member nominated by the </w:t>
            </w:r>
            <w:proofErr w:type="gramStart"/>
            <w:r>
              <w:t>Principal</w:t>
            </w:r>
            <w:proofErr w:type="gramEnd"/>
          </w:p>
        </w:tc>
      </w:tr>
      <w:tr w:rsidR="00243543" w14:paraId="7CE2AA14" w14:textId="77777777" w:rsidTr="00B060E1">
        <w:tc>
          <w:tcPr>
            <w:tcW w:w="1555" w:type="dxa"/>
          </w:tcPr>
          <w:p w14:paraId="745EAA87" w14:textId="77777777" w:rsidR="00243543" w:rsidRDefault="00243543" w:rsidP="00B060E1">
            <w:pPr>
              <w:jc w:val="both"/>
            </w:pPr>
            <w:r>
              <w:t>3</w:t>
            </w:r>
          </w:p>
        </w:tc>
        <w:tc>
          <w:tcPr>
            <w:tcW w:w="7461" w:type="dxa"/>
          </w:tcPr>
          <w:p w14:paraId="6EC0FE24" w14:textId="77777777" w:rsidR="00243543" w:rsidRDefault="00243543" w:rsidP="00B060E1">
            <w:pPr>
              <w:jc w:val="both"/>
            </w:pPr>
            <w:r>
              <w:t>School community member nominated by the school’s parent organisation</w:t>
            </w:r>
          </w:p>
        </w:tc>
      </w:tr>
    </w:tbl>
    <w:p w14:paraId="22471A87" w14:textId="77777777" w:rsidR="00243543" w:rsidRPr="00A862D7" w:rsidRDefault="00243543" w:rsidP="00243543">
      <w:pPr>
        <w:pStyle w:val="Heading1"/>
        <w:jc w:val="both"/>
        <w:rPr>
          <w:b/>
          <w:color w:val="auto"/>
        </w:rPr>
      </w:pPr>
      <w:bookmarkStart w:id="8" w:name="_Toc17968910"/>
      <w:r w:rsidRPr="00A862D7">
        <w:rPr>
          <w:b/>
          <w:color w:val="auto"/>
        </w:rPr>
        <w:t>Waiting lists</w:t>
      </w:r>
      <w:bookmarkEnd w:id="8"/>
    </w:p>
    <w:p w14:paraId="1CD160AC" w14:textId="77777777" w:rsidR="00243543" w:rsidRPr="00627FB9" w:rsidRDefault="00243543" w:rsidP="00243543">
      <w:pPr>
        <w:jc w:val="both"/>
      </w:pPr>
      <w:r>
        <w:t>A waiting list may be created for non-local students who are not offered enrolment. Any waiting list created will remain valid during the current intake period only. The waiting list is determined by the enrolment panel. Parents are advised in writing if their child is to be placed on a waiting list and his or her position on it. The length of the waiting list should reflect realistic expectations of potential vacancies. (General Enrolment Procedures: 9.4.4)</w:t>
      </w:r>
    </w:p>
    <w:p w14:paraId="166E2A3D" w14:textId="772E591B" w:rsidR="00983043" w:rsidRDefault="00983043">
      <w:r>
        <w:rPr>
          <w:noProof/>
        </w:rPr>
        <w:lastRenderedPageBreak/>
        <w:drawing>
          <wp:anchor distT="0" distB="0" distL="114300" distR="114300" simplePos="0" relativeHeight="251672576" behindDoc="0" locked="0" layoutInCell="1" allowOverlap="1" wp14:anchorId="432D02E6" wp14:editId="3FE5DBD1">
            <wp:simplePos x="0" y="0"/>
            <wp:positionH relativeFrom="page">
              <wp:posOffset>228600</wp:posOffset>
            </wp:positionH>
            <wp:positionV relativeFrom="paragraph">
              <wp:posOffset>0</wp:posOffset>
            </wp:positionV>
            <wp:extent cx="2552700" cy="1004570"/>
            <wp:effectExtent l="0" t="0" r="0" b="508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B03C5" w14:textId="77777777" w:rsidR="00983043" w:rsidRDefault="00983043" w:rsidP="00983043">
      <w:pPr>
        <w:pStyle w:val="Heading1"/>
        <w:jc w:val="both"/>
        <w:rPr>
          <w:b/>
          <w:color w:val="auto"/>
        </w:rPr>
      </w:pPr>
      <w:bookmarkStart w:id="9" w:name="_Toc17968911"/>
    </w:p>
    <w:p w14:paraId="5F8170E8" w14:textId="77777777" w:rsidR="00983043" w:rsidRDefault="00983043" w:rsidP="00983043">
      <w:pPr>
        <w:pStyle w:val="Heading1"/>
        <w:jc w:val="both"/>
        <w:rPr>
          <w:b/>
          <w:color w:val="auto"/>
        </w:rPr>
      </w:pPr>
    </w:p>
    <w:p w14:paraId="299B8781" w14:textId="77777777" w:rsidR="00983043" w:rsidRDefault="00983043" w:rsidP="00983043">
      <w:pPr>
        <w:pStyle w:val="Heading1"/>
        <w:jc w:val="both"/>
        <w:rPr>
          <w:b/>
          <w:color w:val="auto"/>
        </w:rPr>
      </w:pPr>
    </w:p>
    <w:p w14:paraId="7E3CC44D" w14:textId="03D55145" w:rsidR="00983043" w:rsidRPr="00A862D7" w:rsidRDefault="00983043" w:rsidP="00983043">
      <w:pPr>
        <w:pStyle w:val="Heading1"/>
        <w:jc w:val="both"/>
        <w:rPr>
          <w:b/>
          <w:color w:val="auto"/>
        </w:rPr>
      </w:pPr>
      <w:r w:rsidRPr="00A862D7">
        <w:rPr>
          <w:b/>
          <w:color w:val="auto"/>
        </w:rPr>
        <w:t>Enrolment time frame</w:t>
      </w:r>
      <w:bookmarkEnd w:id="9"/>
    </w:p>
    <w:p w14:paraId="7C43ABD0" w14:textId="77777777" w:rsidR="00983043" w:rsidRDefault="00983043" w:rsidP="00983043">
      <w:pPr>
        <w:jc w:val="both"/>
      </w:pPr>
      <w:r>
        <w:t xml:space="preserve">It is anticipated that enrolment of students should not exceed 10 days from receipt of completed </w:t>
      </w:r>
      <w:hyperlink r:id="rId13" w:history="1">
        <w:r w:rsidRPr="00DB54B6">
          <w:rPr>
            <w:rStyle w:val="Hyperlink"/>
            <w:color w:val="2E74B5" w:themeColor="accent5" w:themeShade="BF"/>
          </w:rPr>
          <w:t>Application to Enrol in a NSW Government School</w:t>
        </w:r>
      </w:hyperlink>
      <w:r>
        <w:t xml:space="preserve">. Where circumstances indicate that this timeframe may not be met Principals are </w:t>
      </w:r>
      <w:proofErr w:type="gramStart"/>
      <w:r>
        <w:t>require</w:t>
      </w:r>
      <w:proofErr w:type="gramEnd"/>
      <w:r>
        <w:t xml:space="preserve"> to consult their Director, Educational Leadership.</w:t>
      </w:r>
    </w:p>
    <w:p w14:paraId="4B2355DB" w14:textId="77777777" w:rsidR="00983043" w:rsidRPr="00DB54B6" w:rsidRDefault="00983043" w:rsidP="00983043">
      <w:pPr>
        <w:pStyle w:val="Heading1"/>
        <w:jc w:val="both"/>
        <w:rPr>
          <w:b/>
          <w:color w:val="auto"/>
        </w:rPr>
      </w:pPr>
      <w:bookmarkStart w:id="10" w:name="_Toc17968912"/>
      <w:r w:rsidRPr="00DB54B6">
        <w:rPr>
          <w:b/>
          <w:color w:val="auto"/>
        </w:rPr>
        <w:t>Appeals</w:t>
      </w:r>
      <w:bookmarkEnd w:id="10"/>
    </w:p>
    <w:p w14:paraId="25A17FD0" w14:textId="77777777" w:rsidR="00983043" w:rsidRDefault="00983043" w:rsidP="00983043">
      <w:pPr>
        <w:jc w:val="both"/>
      </w:pPr>
      <w:r>
        <w:t xml:space="preserve">Unsuccessful non-local applicants may appeal against the decision of the enrolment panel. The appeal is made in writing to the principal and sets out the grounds of the appeal. If necessary, the principal should provide or arrange assistance, such as an interpreter, to enable the appeal to be set out in writing. The purpose of the appeal is to determine whether the stated criteria have been applied equitably. If the principal is not on the enrolment panel, the principal considers the appeal and </w:t>
      </w:r>
      <w:proofErr w:type="gramStart"/>
      <w:r>
        <w:t>makes a determination</w:t>
      </w:r>
      <w:proofErr w:type="gramEnd"/>
      <w:r>
        <w:t>. Otherwise, the appeal may be determined by the Director, Educational Leadership. (General Enrolment Procedures: 9.4.5)</w:t>
      </w:r>
    </w:p>
    <w:p w14:paraId="3FB10C74" w14:textId="77777777" w:rsidR="00983043" w:rsidRDefault="00983043" w:rsidP="00983043"/>
    <w:p w14:paraId="06379955" w14:textId="77777777" w:rsidR="00983043" w:rsidRPr="00DB54B6" w:rsidRDefault="00983043" w:rsidP="00983043">
      <w:pPr>
        <w:pStyle w:val="Heading1"/>
        <w:rPr>
          <w:b/>
          <w:color w:val="auto"/>
        </w:rPr>
      </w:pPr>
      <w:bookmarkStart w:id="11" w:name="_Toc17968913"/>
      <w:r w:rsidRPr="00DB54B6">
        <w:rPr>
          <w:b/>
          <w:color w:val="auto"/>
        </w:rPr>
        <w:t>Enrolment application decision tree</w:t>
      </w:r>
      <w:bookmarkEnd w:id="11"/>
    </w:p>
    <w:p w14:paraId="1E020788" w14:textId="77777777" w:rsidR="00983043" w:rsidRDefault="00983043" w:rsidP="00983043"/>
    <w:p w14:paraId="4EE7A1FB" w14:textId="77777777" w:rsidR="00983043" w:rsidRPr="008C502D" w:rsidRDefault="00983043" w:rsidP="00983043">
      <w:pPr>
        <w:jc w:val="both"/>
      </w:pPr>
      <w:r w:rsidRPr="000D0795">
        <w:rPr>
          <w:noProof/>
          <w:lang w:eastAsia="en-AU"/>
        </w:rPr>
        <w:drawing>
          <wp:inline distT="0" distB="0" distL="0" distR="0" wp14:anchorId="113AB0B2" wp14:editId="1399528A">
            <wp:extent cx="6503741" cy="2914650"/>
            <wp:effectExtent l="0" t="0" r="0" b="0"/>
            <wp:docPr id="18" name="Content Placeholder 14" descr="Diagram&#10;&#10;Description automatically generated">
              <a:hlinkClick xmlns:a="http://schemas.openxmlformats.org/drawingml/2006/main" r:id="rId14"/>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14" descr="Diagram&#10;&#10;Description automatically generated">
                      <a:hlinkClick r:id="rId14"/>
                    </pic:cNvPr>
                    <pic:cNvPicPr>
                      <a:picLocks noGrp="1" noChangeAspect="1"/>
                    </pic:cNvPicPr>
                  </pic:nvPicPr>
                  <pic:blipFill>
                    <a:blip r:embed="rId15"/>
                    <a:stretch>
                      <a:fillRect/>
                    </a:stretch>
                  </pic:blipFill>
                  <pic:spPr>
                    <a:xfrm>
                      <a:off x="0" y="0"/>
                      <a:ext cx="6504841" cy="2915143"/>
                    </a:xfrm>
                    <a:prstGeom prst="rect">
                      <a:avLst/>
                    </a:prstGeom>
                  </pic:spPr>
                </pic:pic>
              </a:graphicData>
            </a:graphic>
          </wp:inline>
        </w:drawing>
      </w:r>
    </w:p>
    <w:p w14:paraId="273DEF27" w14:textId="77777777" w:rsidR="00983043" w:rsidRDefault="00983043" w:rsidP="00983043">
      <w:pPr>
        <w:jc w:val="center"/>
        <w:rPr>
          <w:rFonts w:asciiTheme="majorHAnsi" w:hAnsiTheme="majorHAnsi" w:cstheme="majorHAnsi"/>
          <w:b/>
          <w:sz w:val="32"/>
          <w:szCs w:val="32"/>
          <w:u w:val="single"/>
        </w:rPr>
      </w:pPr>
    </w:p>
    <w:p w14:paraId="0E0C8443" w14:textId="77777777" w:rsidR="00983043" w:rsidRDefault="00983043" w:rsidP="00983043">
      <w:pPr>
        <w:jc w:val="center"/>
        <w:rPr>
          <w:rFonts w:asciiTheme="majorHAnsi" w:hAnsiTheme="majorHAnsi" w:cstheme="majorHAnsi"/>
          <w:b/>
          <w:sz w:val="32"/>
          <w:szCs w:val="32"/>
          <w:u w:val="single"/>
        </w:rPr>
      </w:pPr>
    </w:p>
    <w:p w14:paraId="41B3FEAF" w14:textId="739137B6" w:rsidR="00243543" w:rsidRDefault="000605EB" w:rsidP="00983043">
      <w:r>
        <w:rPr>
          <w:noProof/>
        </w:rPr>
        <w:lastRenderedPageBreak/>
        <w:drawing>
          <wp:anchor distT="0" distB="0" distL="114300" distR="114300" simplePos="0" relativeHeight="251674624" behindDoc="0" locked="0" layoutInCell="1" allowOverlap="1" wp14:anchorId="3EE491D7" wp14:editId="13E31943">
            <wp:simplePos x="0" y="0"/>
            <wp:positionH relativeFrom="page">
              <wp:posOffset>190500</wp:posOffset>
            </wp:positionH>
            <wp:positionV relativeFrom="paragraph">
              <wp:posOffset>0</wp:posOffset>
            </wp:positionV>
            <wp:extent cx="2552700" cy="1004570"/>
            <wp:effectExtent l="0" t="0" r="0" b="508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33B1A" w14:textId="6DCF2331" w:rsidR="000605EB" w:rsidRPr="000605EB" w:rsidRDefault="000605EB" w:rsidP="000605EB"/>
    <w:p w14:paraId="3E860B55" w14:textId="376D9186" w:rsidR="000605EB" w:rsidRPr="000605EB" w:rsidRDefault="000605EB" w:rsidP="000605EB"/>
    <w:p w14:paraId="1B9BA909" w14:textId="3DB07771" w:rsidR="000605EB" w:rsidRPr="000605EB" w:rsidRDefault="000605EB" w:rsidP="000605EB"/>
    <w:p w14:paraId="35E2F43B" w14:textId="5EC04E87" w:rsidR="000605EB" w:rsidRDefault="000605EB" w:rsidP="000605EB"/>
    <w:p w14:paraId="5A6B63B8" w14:textId="77777777" w:rsidR="000605EB" w:rsidRPr="00DB54B6" w:rsidRDefault="000605EB" w:rsidP="000605EB">
      <w:pPr>
        <w:pStyle w:val="Title"/>
        <w:pBdr>
          <w:top w:val="single" w:sz="4" w:space="1" w:color="auto"/>
          <w:bottom w:val="single" w:sz="4" w:space="1" w:color="auto"/>
        </w:pBdr>
        <w:jc w:val="center"/>
        <w:rPr>
          <w:b/>
        </w:rPr>
      </w:pPr>
      <w:r>
        <w:tab/>
      </w:r>
      <w:r w:rsidRPr="00DB54B6">
        <w:rPr>
          <w:b/>
        </w:rPr>
        <w:t>Director’s Endorsement</w:t>
      </w:r>
    </w:p>
    <w:tbl>
      <w:tblPr>
        <w:tblStyle w:val="GridTable4-Accent4"/>
        <w:tblpPr w:leftFromText="180" w:rightFromText="180" w:vertAnchor="text" w:horzAnchor="margin" w:tblpXSpec="center" w:tblpY="267"/>
        <w:tblW w:w="0" w:type="auto"/>
        <w:tblLook w:val="04A0" w:firstRow="1" w:lastRow="0" w:firstColumn="1" w:lastColumn="0" w:noHBand="0" w:noVBand="1"/>
      </w:tblPr>
      <w:tblGrid>
        <w:gridCol w:w="4673"/>
        <w:gridCol w:w="4343"/>
      </w:tblGrid>
      <w:tr w:rsidR="000605EB" w:rsidRPr="008C502D" w14:paraId="761D9B79" w14:textId="77777777" w:rsidTr="00B06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4DD5FC9" w14:textId="77777777" w:rsidR="000605EB" w:rsidRDefault="000605EB" w:rsidP="00B060E1">
            <w:pPr>
              <w:rPr>
                <w:color w:val="auto"/>
                <w:sz w:val="28"/>
              </w:rPr>
            </w:pPr>
            <w:r>
              <w:rPr>
                <w:color w:val="auto"/>
                <w:sz w:val="28"/>
              </w:rPr>
              <w:t>Heaton Public School</w:t>
            </w:r>
          </w:p>
          <w:p w14:paraId="1BB088F9" w14:textId="77777777" w:rsidR="000605EB" w:rsidRPr="008C502D" w:rsidRDefault="000605EB" w:rsidP="00B060E1">
            <w:pPr>
              <w:rPr>
                <w:color w:val="auto"/>
                <w:sz w:val="28"/>
              </w:rPr>
            </w:pPr>
          </w:p>
        </w:tc>
        <w:tc>
          <w:tcPr>
            <w:tcW w:w="4343" w:type="dxa"/>
          </w:tcPr>
          <w:p w14:paraId="5E8381F6" w14:textId="77777777" w:rsidR="000605EB" w:rsidRPr="008C502D" w:rsidRDefault="000605EB" w:rsidP="00B060E1">
            <w:pPr>
              <w:cnfStyle w:val="100000000000" w:firstRow="1" w:lastRow="0" w:firstColumn="0" w:lastColumn="0" w:oddVBand="0" w:evenVBand="0" w:oddHBand="0" w:evenHBand="0" w:firstRowFirstColumn="0" w:firstRowLastColumn="0" w:lastRowFirstColumn="0" w:lastRowLastColumn="0"/>
              <w:rPr>
                <w:color w:val="auto"/>
                <w:sz w:val="28"/>
              </w:rPr>
            </w:pPr>
          </w:p>
        </w:tc>
      </w:tr>
      <w:tr w:rsidR="000605EB" w14:paraId="7F73A5A6" w14:textId="77777777" w:rsidTr="00B0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8E25A61" w14:textId="77777777" w:rsidR="000605EB" w:rsidRDefault="000605EB" w:rsidP="00B060E1">
            <w:pPr>
              <w:rPr>
                <w:sz w:val="28"/>
              </w:rPr>
            </w:pPr>
            <w:r>
              <w:rPr>
                <w:sz w:val="28"/>
              </w:rPr>
              <w:t>Year</w:t>
            </w:r>
          </w:p>
          <w:p w14:paraId="4EB22AF5" w14:textId="77777777" w:rsidR="000605EB" w:rsidRPr="008C502D" w:rsidRDefault="000605EB" w:rsidP="00B060E1">
            <w:pPr>
              <w:rPr>
                <w:sz w:val="28"/>
              </w:rPr>
            </w:pPr>
          </w:p>
        </w:tc>
        <w:tc>
          <w:tcPr>
            <w:tcW w:w="4343" w:type="dxa"/>
          </w:tcPr>
          <w:p w14:paraId="2426CC2D" w14:textId="77777777" w:rsidR="000605EB" w:rsidRDefault="000605EB" w:rsidP="00B060E1">
            <w:pPr>
              <w:cnfStyle w:val="000000100000" w:firstRow="0" w:lastRow="0" w:firstColumn="0" w:lastColumn="0" w:oddVBand="0" w:evenVBand="0" w:oddHBand="1" w:evenHBand="0" w:firstRowFirstColumn="0" w:firstRowLastColumn="0" w:lastRowFirstColumn="0" w:lastRowLastColumn="0"/>
            </w:pPr>
            <w:r>
              <w:t>2021</w:t>
            </w:r>
          </w:p>
        </w:tc>
      </w:tr>
      <w:tr w:rsidR="000605EB" w14:paraId="5366844D" w14:textId="77777777" w:rsidTr="00B060E1">
        <w:tc>
          <w:tcPr>
            <w:cnfStyle w:val="001000000000" w:firstRow="0" w:lastRow="0" w:firstColumn="1" w:lastColumn="0" w:oddVBand="0" w:evenVBand="0" w:oddHBand="0" w:evenHBand="0" w:firstRowFirstColumn="0" w:firstRowLastColumn="0" w:lastRowFirstColumn="0" w:lastRowLastColumn="0"/>
            <w:tcW w:w="4673" w:type="dxa"/>
          </w:tcPr>
          <w:p w14:paraId="12A6C034" w14:textId="77777777" w:rsidR="000605EB" w:rsidRPr="008C502D" w:rsidRDefault="000605EB" w:rsidP="00B060E1">
            <w:pPr>
              <w:rPr>
                <w:sz w:val="28"/>
              </w:rPr>
            </w:pPr>
            <w:r w:rsidRPr="008C502D">
              <w:rPr>
                <w:sz w:val="28"/>
              </w:rPr>
              <w:t>Enrolment Cap</w:t>
            </w:r>
          </w:p>
          <w:p w14:paraId="222837C6" w14:textId="77777777" w:rsidR="000605EB" w:rsidRPr="008C502D" w:rsidRDefault="000605EB" w:rsidP="00B060E1">
            <w:pPr>
              <w:rPr>
                <w:sz w:val="28"/>
              </w:rPr>
            </w:pPr>
          </w:p>
        </w:tc>
        <w:tc>
          <w:tcPr>
            <w:tcW w:w="4343" w:type="dxa"/>
          </w:tcPr>
          <w:p w14:paraId="7BF07933" w14:textId="77777777" w:rsidR="000605EB" w:rsidRDefault="000605EB" w:rsidP="00B060E1">
            <w:pPr>
              <w:cnfStyle w:val="000000000000" w:firstRow="0" w:lastRow="0" w:firstColumn="0" w:lastColumn="0" w:oddVBand="0" w:evenVBand="0" w:oddHBand="0" w:evenHBand="0" w:firstRowFirstColumn="0" w:firstRowLastColumn="0" w:lastRowFirstColumn="0" w:lastRowLastColumn="0"/>
            </w:pPr>
            <w:r>
              <w:t>185</w:t>
            </w:r>
          </w:p>
        </w:tc>
      </w:tr>
      <w:tr w:rsidR="000605EB" w14:paraId="376DC209" w14:textId="77777777" w:rsidTr="00B0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EEE51AB" w14:textId="77777777" w:rsidR="000605EB" w:rsidRPr="008C502D" w:rsidRDefault="000605EB" w:rsidP="00B060E1">
            <w:pPr>
              <w:rPr>
                <w:sz w:val="28"/>
              </w:rPr>
            </w:pPr>
            <w:r w:rsidRPr="008C502D">
              <w:rPr>
                <w:sz w:val="28"/>
              </w:rPr>
              <w:t>Buffer</w:t>
            </w:r>
          </w:p>
          <w:p w14:paraId="37BFE2D7" w14:textId="77777777" w:rsidR="000605EB" w:rsidRPr="008C502D" w:rsidRDefault="000605EB" w:rsidP="00B060E1">
            <w:pPr>
              <w:rPr>
                <w:sz w:val="28"/>
              </w:rPr>
            </w:pPr>
          </w:p>
        </w:tc>
        <w:tc>
          <w:tcPr>
            <w:tcW w:w="4343" w:type="dxa"/>
          </w:tcPr>
          <w:p w14:paraId="576E2427" w14:textId="77777777" w:rsidR="000605EB" w:rsidRDefault="000605EB" w:rsidP="00B060E1">
            <w:pPr>
              <w:cnfStyle w:val="000000100000" w:firstRow="0" w:lastRow="0" w:firstColumn="0" w:lastColumn="0" w:oddVBand="0" w:evenVBand="0" w:oddHBand="1" w:evenHBand="0" w:firstRowFirstColumn="0" w:firstRowLastColumn="0" w:lastRowFirstColumn="0" w:lastRowLastColumn="0"/>
            </w:pPr>
            <w:r>
              <w:t>14</w:t>
            </w:r>
          </w:p>
        </w:tc>
      </w:tr>
      <w:tr w:rsidR="000605EB" w14:paraId="6595E2D0" w14:textId="77777777" w:rsidTr="00B060E1">
        <w:tc>
          <w:tcPr>
            <w:cnfStyle w:val="001000000000" w:firstRow="0" w:lastRow="0" w:firstColumn="1" w:lastColumn="0" w:oddVBand="0" w:evenVBand="0" w:oddHBand="0" w:evenHBand="0" w:firstRowFirstColumn="0" w:firstRowLastColumn="0" w:lastRowFirstColumn="0" w:lastRowLastColumn="0"/>
            <w:tcW w:w="4673" w:type="dxa"/>
          </w:tcPr>
          <w:p w14:paraId="08B9B342" w14:textId="77777777" w:rsidR="000605EB" w:rsidRPr="008C502D" w:rsidRDefault="000605EB" w:rsidP="00B060E1">
            <w:pPr>
              <w:rPr>
                <w:sz w:val="28"/>
              </w:rPr>
            </w:pPr>
            <w:r w:rsidRPr="008C502D">
              <w:rPr>
                <w:sz w:val="28"/>
              </w:rPr>
              <w:t xml:space="preserve">Approaching Buffer – </w:t>
            </w:r>
            <w:proofErr w:type="gramStart"/>
            <w:r w:rsidRPr="008C502D">
              <w:rPr>
                <w:sz w:val="28"/>
              </w:rPr>
              <w:t>Non Local</w:t>
            </w:r>
            <w:proofErr w:type="gramEnd"/>
            <w:r w:rsidRPr="008C502D">
              <w:rPr>
                <w:sz w:val="28"/>
              </w:rPr>
              <w:t xml:space="preserve"> Enrolments requiring Director approval.</w:t>
            </w:r>
          </w:p>
          <w:p w14:paraId="571E923D" w14:textId="77777777" w:rsidR="000605EB" w:rsidRPr="008C502D" w:rsidRDefault="000605EB" w:rsidP="00B060E1">
            <w:pPr>
              <w:rPr>
                <w:b w:val="0"/>
                <w:i/>
              </w:rPr>
            </w:pPr>
            <w:r w:rsidRPr="008C502D">
              <w:rPr>
                <w:b w:val="0"/>
                <w:i/>
              </w:rPr>
              <w:t>When the school’s enrolment level is close to the local enrolment buffer, the principal is required to inform the principal of the child’s local school when considering the non-local enrolment application, and to seek approval of the Director, Educational Leadership before making an offer to enrol the child.</w:t>
            </w:r>
          </w:p>
          <w:p w14:paraId="4ADD0EE4" w14:textId="77777777" w:rsidR="000605EB" w:rsidRPr="00D23046" w:rsidRDefault="000605EB" w:rsidP="00B060E1"/>
        </w:tc>
        <w:tc>
          <w:tcPr>
            <w:tcW w:w="4343" w:type="dxa"/>
          </w:tcPr>
          <w:p w14:paraId="1D912DC7" w14:textId="77777777" w:rsidR="000605EB" w:rsidRDefault="000605EB" w:rsidP="00B060E1">
            <w:pPr>
              <w:cnfStyle w:val="000000000000" w:firstRow="0" w:lastRow="0" w:firstColumn="0" w:lastColumn="0" w:oddVBand="0" w:evenVBand="0" w:oddHBand="0" w:evenHBand="0" w:firstRowFirstColumn="0" w:firstRowLastColumn="0" w:lastRowFirstColumn="0" w:lastRowLastColumn="0"/>
            </w:pPr>
          </w:p>
        </w:tc>
      </w:tr>
      <w:tr w:rsidR="000605EB" w14:paraId="68CC4EF7" w14:textId="77777777" w:rsidTr="00B0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22B3641" w14:textId="77777777" w:rsidR="000605EB" w:rsidRDefault="000605EB" w:rsidP="00B060E1"/>
          <w:p w14:paraId="0ECD3CA6" w14:textId="77777777" w:rsidR="000605EB" w:rsidRDefault="000605EB" w:rsidP="00B060E1">
            <w:r>
              <w:t>I confirm my endorsement of the figures identified above.</w:t>
            </w:r>
          </w:p>
          <w:p w14:paraId="729C6865" w14:textId="77777777" w:rsidR="000605EB" w:rsidRDefault="000605EB" w:rsidP="00B060E1"/>
          <w:p w14:paraId="755DDE74" w14:textId="77777777" w:rsidR="000605EB" w:rsidRDefault="000605EB" w:rsidP="00B060E1"/>
          <w:p w14:paraId="2D2BFA68" w14:textId="77777777" w:rsidR="000605EB" w:rsidRDefault="000605EB" w:rsidP="00B060E1"/>
          <w:p w14:paraId="0B3241C6" w14:textId="77777777" w:rsidR="000605EB" w:rsidRDefault="000605EB" w:rsidP="00B060E1"/>
          <w:p w14:paraId="2212022D" w14:textId="77777777" w:rsidR="000605EB" w:rsidRDefault="000605EB" w:rsidP="00B060E1">
            <w:r>
              <w:t>Signature:   _______________________________________________</w:t>
            </w:r>
          </w:p>
          <w:p w14:paraId="27EA497F" w14:textId="77777777" w:rsidR="000605EB" w:rsidRDefault="000605EB" w:rsidP="00B060E1"/>
          <w:p w14:paraId="62125C1C" w14:textId="77777777" w:rsidR="000605EB" w:rsidRDefault="000605EB" w:rsidP="00B060E1">
            <w:r>
              <w:t>Josie Bailey</w:t>
            </w:r>
          </w:p>
          <w:p w14:paraId="7564893E" w14:textId="77777777" w:rsidR="000605EB" w:rsidRDefault="000605EB" w:rsidP="00B060E1">
            <w:r>
              <w:t>Director,</w:t>
            </w:r>
          </w:p>
          <w:p w14:paraId="2CF1FF05" w14:textId="77777777" w:rsidR="000605EB" w:rsidRDefault="000605EB" w:rsidP="00B060E1">
            <w:r>
              <w:t>Educational Leadership</w:t>
            </w:r>
          </w:p>
          <w:p w14:paraId="5AD12115" w14:textId="77777777" w:rsidR="000605EB" w:rsidRDefault="000605EB" w:rsidP="00B060E1">
            <w:r>
              <w:t>Callaghan Network</w:t>
            </w:r>
          </w:p>
          <w:p w14:paraId="23EEFA4C" w14:textId="77777777" w:rsidR="000605EB" w:rsidRDefault="000605EB" w:rsidP="00B060E1"/>
          <w:p w14:paraId="2204FD05" w14:textId="77777777" w:rsidR="000605EB" w:rsidRDefault="000605EB" w:rsidP="00B060E1">
            <w:r>
              <w:t>June 2021</w:t>
            </w:r>
          </w:p>
          <w:p w14:paraId="346B6044" w14:textId="77777777" w:rsidR="000605EB" w:rsidRDefault="000605EB" w:rsidP="00B060E1"/>
          <w:p w14:paraId="1658D411" w14:textId="77777777" w:rsidR="000605EB" w:rsidRDefault="000605EB" w:rsidP="00B060E1"/>
        </w:tc>
      </w:tr>
    </w:tbl>
    <w:p w14:paraId="00FE3BD1" w14:textId="77777777" w:rsidR="000605EB" w:rsidRDefault="000605EB" w:rsidP="000605EB"/>
    <w:sectPr w:rsidR="000605E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0135" w14:textId="77777777" w:rsidR="008D1DC3" w:rsidRDefault="008D1DC3" w:rsidP="008D1DC3">
      <w:pPr>
        <w:spacing w:after="0" w:line="240" w:lineRule="auto"/>
      </w:pPr>
      <w:r>
        <w:separator/>
      </w:r>
    </w:p>
  </w:endnote>
  <w:endnote w:type="continuationSeparator" w:id="0">
    <w:p w14:paraId="33090190" w14:textId="77777777" w:rsidR="008D1DC3" w:rsidRDefault="008D1DC3" w:rsidP="008D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D1E9" w14:textId="77777777" w:rsidR="00DF2241" w:rsidRDefault="00DF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1744" w14:textId="77777777" w:rsidR="00DF2241" w:rsidRDefault="00DF2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D439" w14:textId="77777777" w:rsidR="00DF2241" w:rsidRDefault="00DF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C08E" w14:textId="77777777" w:rsidR="008D1DC3" w:rsidRDefault="008D1DC3" w:rsidP="008D1DC3">
      <w:pPr>
        <w:spacing w:after="0" w:line="240" w:lineRule="auto"/>
      </w:pPr>
      <w:r>
        <w:separator/>
      </w:r>
    </w:p>
  </w:footnote>
  <w:footnote w:type="continuationSeparator" w:id="0">
    <w:p w14:paraId="3075DFB5" w14:textId="77777777" w:rsidR="008D1DC3" w:rsidRDefault="008D1DC3" w:rsidP="008D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2574" w14:textId="77777777" w:rsidR="00DF2241" w:rsidRDefault="00DF2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A6E8" w14:textId="075309EF" w:rsidR="00675259" w:rsidRDefault="00675259">
    <w:pPr>
      <w:pStyle w:val="Header"/>
    </w:pPr>
    <w:r>
      <w:rPr>
        <w:noProof/>
      </w:rPr>
      <w:drawing>
        <wp:anchor distT="0" distB="0" distL="114300" distR="114300" simplePos="0" relativeHeight="251658240" behindDoc="0" locked="0" layoutInCell="1" allowOverlap="1" wp14:anchorId="4E0386C8" wp14:editId="71A8C0D3">
          <wp:simplePos x="0" y="0"/>
          <wp:positionH relativeFrom="page">
            <wp:posOffset>123825</wp:posOffset>
          </wp:positionH>
          <wp:positionV relativeFrom="paragraph">
            <wp:posOffset>1893570</wp:posOffset>
          </wp:positionV>
          <wp:extent cx="7286625" cy="8296275"/>
          <wp:effectExtent l="0" t="0" r="9525" b="9525"/>
          <wp:wrapNone/>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86625" cy="8296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7FA1" w14:textId="77777777" w:rsidR="00DF2241" w:rsidRDefault="00DF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1EDB"/>
    <w:multiLevelType w:val="hybridMultilevel"/>
    <w:tmpl w:val="FAFAFC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79"/>
    <w:rsid w:val="00031E17"/>
    <w:rsid w:val="000605EB"/>
    <w:rsid w:val="000C28B6"/>
    <w:rsid w:val="00153FBC"/>
    <w:rsid w:val="00205C32"/>
    <w:rsid w:val="00243543"/>
    <w:rsid w:val="00243C6B"/>
    <w:rsid w:val="002B2F85"/>
    <w:rsid w:val="00354184"/>
    <w:rsid w:val="0048585B"/>
    <w:rsid w:val="00666690"/>
    <w:rsid w:val="00675259"/>
    <w:rsid w:val="00693B8A"/>
    <w:rsid w:val="006D1879"/>
    <w:rsid w:val="007047F1"/>
    <w:rsid w:val="00785721"/>
    <w:rsid w:val="0081295C"/>
    <w:rsid w:val="00815914"/>
    <w:rsid w:val="0088276F"/>
    <w:rsid w:val="008D1DC3"/>
    <w:rsid w:val="00983043"/>
    <w:rsid w:val="00986879"/>
    <w:rsid w:val="00A3586F"/>
    <w:rsid w:val="00AA7F22"/>
    <w:rsid w:val="00C957AC"/>
    <w:rsid w:val="00DF2241"/>
    <w:rsid w:val="00F61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52D8C"/>
  <w15:chartTrackingRefBased/>
  <w15:docId w15:val="{A2E6D83F-3F96-4CD7-8BFE-2A255498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7F1"/>
    <w:pPr>
      <w:keepNext/>
      <w:keepLines/>
      <w:spacing w:before="240" w:after="0"/>
      <w:outlineLvl w:val="0"/>
    </w:pPr>
    <w:rPr>
      <w:rFonts w:asciiTheme="majorHAnsi" w:eastAsiaTheme="majorEastAsia" w:hAnsiTheme="majorHAnsi" w:cstheme="majorBidi"/>
      <w:color w:val="2F5496" w:themeColor="accent1" w:themeShade="BF"/>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B8A"/>
    <w:pPr>
      <w:spacing w:after="0" w:line="240" w:lineRule="auto"/>
      <w:contextualSpacing/>
    </w:pPr>
    <w:rPr>
      <w:rFonts w:asciiTheme="majorHAnsi" w:eastAsiaTheme="majorEastAsia" w:hAnsiTheme="majorHAnsi" w:cstheme="majorBidi"/>
      <w:spacing w:val="-10"/>
      <w:kern w:val="28"/>
      <w:sz w:val="56"/>
      <w:szCs w:val="56"/>
      <w14:ligatures w14:val="none"/>
      <w14:cntxtAlts w14:val="0"/>
    </w:rPr>
  </w:style>
  <w:style w:type="character" w:customStyle="1" w:styleId="TitleChar">
    <w:name w:val="Title Char"/>
    <w:basedOn w:val="DefaultParagraphFont"/>
    <w:link w:val="Title"/>
    <w:uiPriority w:val="10"/>
    <w:rsid w:val="00693B8A"/>
    <w:rPr>
      <w:rFonts w:asciiTheme="majorHAnsi" w:eastAsiaTheme="majorEastAsia" w:hAnsiTheme="majorHAnsi" w:cstheme="majorBidi"/>
      <w:spacing w:val="-10"/>
      <w:kern w:val="28"/>
      <w:sz w:val="56"/>
      <w:szCs w:val="56"/>
      <w14:ligatures w14:val="none"/>
      <w14:cntxtAlts w14:val="0"/>
    </w:rPr>
  </w:style>
  <w:style w:type="character" w:customStyle="1" w:styleId="Heading1Char">
    <w:name w:val="Heading 1 Char"/>
    <w:basedOn w:val="DefaultParagraphFont"/>
    <w:link w:val="Heading1"/>
    <w:uiPriority w:val="9"/>
    <w:rsid w:val="007047F1"/>
    <w:rPr>
      <w:rFonts w:asciiTheme="majorHAnsi" w:eastAsiaTheme="majorEastAsia" w:hAnsiTheme="majorHAnsi" w:cstheme="majorBidi"/>
      <w:color w:val="2F5496" w:themeColor="accent1" w:themeShade="BF"/>
      <w:sz w:val="32"/>
      <w:szCs w:val="32"/>
      <w14:ligatures w14:val="none"/>
      <w14:cntxtAlts w14:val="0"/>
    </w:rPr>
  </w:style>
  <w:style w:type="character" w:styleId="Hyperlink">
    <w:name w:val="Hyperlink"/>
    <w:basedOn w:val="DefaultParagraphFont"/>
    <w:uiPriority w:val="99"/>
    <w:unhideWhenUsed/>
    <w:rsid w:val="007047F1"/>
    <w:rPr>
      <w:color w:val="0563C1" w:themeColor="hyperlink"/>
      <w:u w:val="single"/>
    </w:rPr>
  </w:style>
  <w:style w:type="table" w:styleId="TableGrid">
    <w:name w:val="Table Grid"/>
    <w:basedOn w:val="TableNormal"/>
    <w:uiPriority w:val="39"/>
    <w:rsid w:val="007047F1"/>
    <w:pPr>
      <w:spacing w:after="0" w:line="240" w:lineRule="auto"/>
    </w:pPr>
    <w:rPr>
      <w14:ligatures w14:val="none"/>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47F1"/>
    <w:pPr>
      <w:outlineLvl w:val="9"/>
    </w:pPr>
    <w:rPr>
      <w:lang w:val="en-US"/>
    </w:rPr>
  </w:style>
  <w:style w:type="paragraph" w:styleId="TOC1">
    <w:name w:val="toc 1"/>
    <w:basedOn w:val="Normal"/>
    <w:next w:val="Normal"/>
    <w:autoRedefine/>
    <w:uiPriority w:val="39"/>
    <w:unhideWhenUsed/>
    <w:rsid w:val="007047F1"/>
    <w:pPr>
      <w:spacing w:after="100"/>
    </w:pPr>
    <w:rPr>
      <w:sz w:val="24"/>
      <w14:ligatures w14:val="none"/>
      <w14:cntxtAlts w14:val="0"/>
    </w:rPr>
  </w:style>
  <w:style w:type="paragraph" w:styleId="NormalWeb">
    <w:name w:val="Normal (Web)"/>
    <w:basedOn w:val="Normal"/>
    <w:uiPriority w:val="99"/>
    <w:semiHidden/>
    <w:unhideWhenUsed/>
    <w:rsid w:val="00243C6B"/>
    <w:pPr>
      <w:spacing w:before="100" w:beforeAutospacing="1" w:after="100" w:afterAutospacing="1" w:line="240" w:lineRule="auto"/>
    </w:pPr>
    <w:rPr>
      <w:rFonts w:ascii="Times New Roman" w:eastAsiaTheme="minorEastAsia" w:hAnsi="Times New Roman" w:cs="Times New Roman"/>
      <w:sz w:val="24"/>
      <w:szCs w:val="24"/>
      <w:lang w:eastAsia="en-AU"/>
      <w14:ligatures w14:val="none"/>
      <w14:cntxtAlts w14:val="0"/>
    </w:rPr>
  </w:style>
  <w:style w:type="paragraph" w:styleId="NoSpacing">
    <w:name w:val="No Spacing"/>
    <w:uiPriority w:val="1"/>
    <w:qFormat/>
    <w:rsid w:val="00243543"/>
    <w:pPr>
      <w:spacing w:after="0" w:line="240" w:lineRule="auto"/>
    </w:pPr>
    <w:rPr>
      <w14:ligatures w14:val="none"/>
      <w14:cntxtAlts w14:val="0"/>
    </w:rPr>
  </w:style>
  <w:style w:type="table" w:styleId="GridTable4-Accent4">
    <w:name w:val="Grid Table 4 Accent 4"/>
    <w:basedOn w:val="TableNormal"/>
    <w:uiPriority w:val="49"/>
    <w:rsid w:val="000605EB"/>
    <w:pPr>
      <w:spacing w:after="0" w:line="240" w:lineRule="auto"/>
    </w:pPr>
    <w:rPr>
      <w14:ligatures w14:val="none"/>
      <w14:cntxtAlts w14:val="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675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259"/>
  </w:style>
  <w:style w:type="paragraph" w:styleId="Footer">
    <w:name w:val="footer"/>
    <w:basedOn w:val="Normal"/>
    <w:link w:val="FooterChar"/>
    <w:uiPriority w:val="99"/>
    <w:unhideWhenUsed/>
    <w:rsid w:val="00675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ducation.nsw.gov.au/public-schools/going-to-a-public-school/translated-documents/enrolment-applic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education.nsw.gov.au/public-schools/going-to-a-public-school/translated-documents/enrolment-applic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education.nsw.gov.au/school-find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nsw.gov.au/policy-library/associated-documents/pd-2002-0006-01.pdf" TargetMode="External"/><Relationship Id="rId14" Type="http://schemas.openxmlformats.org/officeDocument/2006/relationships/hyperlink" Target="https://education.nsw.gov.au/policy-management-schools/media/documents/Decision-tree-Revised-enrolment-policy-2019.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Majer</dc:creator>
  <cp:keywords/>
  <dc:description/>
  <cp:lastModifiedBy>Dianne Watkins</cp:lastModifiedBy>
  <cp:revision>24</cp:revision>
  <dcterms:created xsi:type="dcterms:W3CDTF">2022-06-07T04:35:00Z</dcterms:created>
  <dcterms:modified xsi:type="dcterms:W3CDTF">2022-06-07T05:13:00Z</dcterms:modified>
</cp:coreProperties>
</file>